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柳州市工</w:t>
      </w:r>
      <w:bookmarkStart w:id="0" w:name="_GoBack"/>
      <w:bookmarkEnd w:id="0"/>
      <w:r>
        <w:rPr>
          <w:rFonts w:hint="eastAsia" w:ascii="Calibri" w:hAnsi="Calibri" w:eastAsia="宋体" w:cs="Times New Roman"/>
          <w:b/>
          <w:bCs/>
          <w:sz w:val="32"/>
          <w:szCs w:val="32"/>
          <w:lang w:val="en-US" w:eastAsia="zh-CN"/>
        </w:rPr>
        <w:t>人医院聘请第三方审计机构进行资产清查服务项目需求</w:t>
      </w:r>
    </w:p>
    <w:p>
      <w:pPr>
        <w:adjustRightInd w:val="0"/>
        <w:spacing w:line="500" w:lineRule="exact"/>
        <w:rPr>
          <w:rFonts w:hint="eastAsia" w:ascii="仿宋" w:hAnsi="仿宋" w:eastAsia="仿宋" w:cs="仿宋"/>
          <w:b/>
          <w:color w:val="000000"/>
          <w:sz w:val="28"/>
          <w:szCs w:val="28"/>
        </w:rPr>
      </w:pP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一、项目名称</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柳州市工人医院聘请第三方审计机构进行资产清查服务项目</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二、项目概况</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为</w:t>
      </w:r>
      <w:r>
        <w:rPr>
          <w:rFonts w:hint="eastAsia" w:ascii="仿宋" w:hAnsi="仿宋" w:eastAsia="仿宋" w:cs="仿宋"/>
          <w:bCs/>
          <w:color w:val="auto"/>
          <w:sz w:val="28"/>
          <w:szCs w:val="28"/>
        </w:rPr>
        <w:t>进一步规范医院内部控制管理流程</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健全内控体系，促进医院高质量发展，</w:t>
      </w:r>
      <w:r>
        <w:rPr>
          <w:rFonts w:hint="eastAsia" w:ascii="仿宋" w:hAnsi="仿宋" w:eastAsia="仿宋" w:cs="仿宋"/>
          <w:bCs/>
          <w:color w:val="auto"/>
          <w:sz w:val="28"/>
          <w:szCs w:val="28"/>
          <w:lang w:eastAsia="zh-CN"/>
        </w:rPr>
        <w:t>现需</w:t>
      </w:r>
      <w:r>
        <w:rPr>
          <w:rFonts w:hint="eastAsia" w:ascii="仿宋" w:hAnsi="仿宋" w:eastAsia="仿宋" w:cs="仿宋"/>
          <w:bCs/>
          <w:color w:val="auto"/>
          <w:sz w:val="28"/>
          <w:szCs w:val="28"/>
        </w:rPr>
        <w:t>聘请</w:t>
      </w:r>
      <w:r>
        <w:rPr>
          <w:rFonts w:hint="eastAsia" w:ascii="仿宋" w:hAnsi="仿宋" w:eastAsia="仿宋" w:cs="仿宋"/>
          <w:bCs/>
          <w:color w:val="auto"/>
          <w:sz w:val="28"/>
          <w:szCs w:val="28"/>
          <w:lang w:val="en-US" w:eastAsia="zh-CN"/>
        </w:rPr>
        <w:t>一家</w:t>
      </w:r>
      <w:r>
        <w:rPr>
          <w:rFonts w:hint="eastAsia" w:ascii="仿宋" w:hAnsi="仿宋" w:eastAsia="仿宋" w:cs="仿宋"/>
          <w:bCs/>
          <w:color w:val="auto"/>
          <w:sz w:val="28"/>
          <w:szCs w:val="28"/>
        </w:rPr>
        <w:t>第三方审计机构</w:t>
      </w:r>
      <w:r>
        <w:rPr>
          <w:rFonts w:hint="eastAsia" w:ascii="仿宋" w:hAnsi="仿宋" w:eastAsia="仿宋" w:cs="仿宋"/>
          <w:bCs/>
          <w:color w:val="auto"/>
          <w:sz w:val="28"/>
          <w:szCs w:val="28"/>
          <w:lang w:eastAsia="zh-CN"/>
        </w:rPr>
        <w:t>针对《柳州市工人医院</w:t>
      </w:r>
      <w:r>
        <w:rPr>
          <w:rFonts w:hint="eastAsia" w:ascii="仿宋" w:hAnsi="仿宋" w:eastAsia="仿宋" w:cs="仿宋"/>
          <w:bCs/>
          <w:color w:val="auto"/>
          <w:sz w:val="28"/>
          <w:szCs w:val="28"/>
          <w:lang w:val="en-US" w:eastAsia="zh-CN"/>
        </w:rPr>
        <w:t>2022-</w:t>
      </w:r>
      <w:r>
        <w:rPr>
          <w:rFonts w:hint="eastAsia" w:ascii="仿宋" w:hAnsi="仿宋" w:eastAsia="仿宋" w:cs="仿宋"/>
          <w:bCs/>
          <w:color w:val="auto"/>
          <w:sz w:val="28"/>
          <w:szCs w:val="28"/>
          <w:lang w:eastAsia="zh-CN"/>
        </w:rPr>
        <w:t>2023年度风险评估报告》中以前年度内部控制缺陷未整改项目进行</w:t>
      </w:r>
      <w:r>
        <w:rPr>
          <w:rFonts w:hint="eastAsia" w:ascii="仿宋" w:hAnsi="仿宋" w:eastAsia="仿宋" w:cs="仿宋"/>
          <w:bCs/>
          <w:color w:val="auto"/>
          <w:sz w:val="28"/>
          <w:szCs w:val="28"/>
          <w:lang w:val="en-US" w:eastAsia="zh-CN"/>
        </w:rPr>
        <w:t>资产清查</w:t>
      </w:r>
      <w:r>
        <w:rPr>
          <w:rFonts w:hint="eastAsia" w:ascii="仿宋" w:hAnsi="仿宋" w:eastAsia="仿宋" w:cs="仿宋"/>
          <w:bCs/>
          <w:color w:val="auto"/>
          <w:sz w:val="28"/>
          <w:szCs w:val="28"/>
        </w:rPr>
        <w:t>审计服务。</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三、投标人/供应商资格条件</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1、投标人需为国内注册（指按国家有关规定要求注册的）生产或经营本次招标采购服务、具备法人资格的供应商。</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2、投标人三年内在经营活动中没有重大违法记录和不良信用记录。</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3、投标人近三年未执行本院内部控制评价业务</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4、投标人近一年有对医院审计经验</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5、投标人有效的“营业执照”副本复印件。</w:t>
      </w:r>
    </w:p>
    <w:p>
      <w:pPr>
        <w:keepNext w:val="0"/>
        <w:keepLines w:val="0"/>
        <w:pageBreakBefore w:val="0"/>
        <w:widowControl w:val="0"/>
        <w:kinsoku/>
        <w:wordWrap/>
        <w:overflowPunct/>
        <w:topLinePunct w:val="0"/>
        <w:autoSpaceDE/>
        <w:autoSpaceDN/>
        <w:bidi w:val="0"/>
        <w:snapToGrid/>
        <w:spacing w:line="440" w:lineRule="exact"/>
        <w:ind w:firstLine="480"/>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6、投标人有效的“税务登记证”副本复印件。</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四</w:t>
      </w:r>
      <w:r>
        <w:rPr>
          <w:rFonts w:hint="eastAsia" w:ascii="仿宋" w:hAnsi="仿宋" w:eastAsia="仿宋" w:cs="仿宋"/>
          <w:b/>
          <w:color w:val="000000"/>
          <w:sz w:val="28"/>
          <w:szCs w:val="28"/>
        </w:rPr>
        <w:t>、人员配置要求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1、项目参与人员必须为事务所正式员工（需提供参保记录）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2、注册会计师不少于1名；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3、助理人员不少于3名；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kern w:val="2"/>
          <w:sz w:val="28"/>
          <w:szCs w:val="28"/>
          <w:lang w:val="en-US" w:eastAsia="zh-CN" w:bidi="ar-SA"/>
        </w:rPr>
        <w:t>4、项目参与人员必须全程在岗，委托方进行不定期检查，一经发现人员不到位，按中标合同总价1%/人/次扣款。</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lang w:eastAsia="zh-CN"/>
        </w:rPr>
        <w:t>五</w:t>
      </w:r>
      <w:r>
        <w:rPr>
          <w:rFonts w:hint="eastAsia" w:ascii="仿宋" w:hAnsi="仿宋" w:eastAsia="仿宋" w:cs="仿宋"/>
          <w:b/>
          <w:color w:val="000000"/>
          <w:sz w:val="28"/>
          <w:szCs w:val="28"/>
        </w:rPr>
        <w:t>、项目内容</w:t>
      </w:r>
    </w:p>
    <w:p>
      <w:pPr>
        <w:keepNext w:val="0"/>
        <w:keepLines w:val="0"/>
        <w:pageBreakBefore w:val="0"/>
        <w:widowControl w:val="0"/>
        <w:kinsoku/>
        <w:wordWrap/>
        <w:overflowPunct/>
        <w:topLinePunct w:val="0"/>
        <w:autoSpaceDE/>
        <w:autoSpaceDN/>
        <w:bidi w:val="0"/>
        <w:snapToGrid/>
        <w:spacing w:line="440" w:lineRule="exact"/>
        <w:ind w:firstLine="56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采购内容：聘请第三方审计机构进行审计服务，服务内容如下：</w:t>
      </w:r>
    </w:p>
    <w:tbl>
      <w:tblPr>
        <w:tblStyle w:val="3"/>
        <w:tblW w:w="90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6"/>
        <w:gridCol w:w="7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1356" w:type="dxa"/>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7664" w:type="dxa"/>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审核项目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6" w:hRule="atLeast"/>
          <w:jc w:val="center"/>
        </w:trPr>
        <w:tc>
          <w:tcPr>
            <w:tcW w:w="1356" w:type="dxa"/>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7664" w:type="dxa"/>
            <w:vAlign w:val="center"/>
          </w:tcPr>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HIS系统出院未结算病人欠费、在院病人预交金、在院病人欠费金额与财务账面金额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1356" w:type="dxa"/>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7664" w:type="dxa"/>
            <w:vAlign w:val="center"/>
          </w:tcPr>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以往年度医保费用结算情况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1356" w:type="dxa"/>
            <w:vAlign w:val="center"/>
          </w:tcPr>
          <w:p>
            <w:pPr>
              <w:keepNext w:val="0"/>
              <w:keepLines w:val="0"/>
              <w:pageBreakBefore w:val="0"/>
              <w:widowControl w:val="0"/>
              <w:kinsoku/>
              <w:wordWrap/>
              <w:overflowPunct/>
              <w:topLinePunct w:val="0"/>
              <w:autoSpaceDE/>
              <w:autoSpaceDN/>
              <w:bidi w:val="0"/>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7664" w:type="dxa"/>
            <w:vAlign w:val="center"/>
          </w:tcPr>
          <w:p>
            <w:pPr>
              <w:keepNext w:val="0"/>
              <w:keepLines w:val="0"/>
              <w:pageBreakBefore w:val="0"/>
              <w:widowControl w:val="0"/>
              <w:kinsoku/>
              <w:wordWrap/>
              <w:overflowPunct/>
              <w:topLinePunct w:val="0"/>
              <w:autoSpaceDE/>
              <w:autoSpaceDN/>
              <w:bidi w:val="0"/>
              <w:snapToGrid/>
              <w:spacing w:line="440" w:lineRule="exact"/>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往来账等</w:t>
            </w:r>
          </w:p>
        </w:tc>
      </w:tr>
    </w:tbl>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会计事务所对应收在院病人医疗款、应收医疗款、微信自助机、微信互联网、支付宝、支付宝互联网、预收医疗款等科目余额进行核实清理，并出具专项审计报告。</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六、报价要求</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本项目按包干价进行报价；</w:t>
      </w:r>
      <w:r>
        <w:rPr>
          <w:rFonts w:hint="eastAsia" w:ascii="仿宋" w:hAnsi="仿宋" w:eastAsia="仿宋" w:cs="仿宋"/>
          <w:sz w:val="28"/>
          <w:szCs w:val="28"/>
        </w:rPr>
        <w:t>报价含服务费、人工费、材料费、管理费、保险、利润、税金等为完成本项目所需的所有费用，在实施期间不因市场因素而变动。</w:t>
      </w:r>
    </w:p>
    <w:p>
      <w:pPr>
        <w:keepNext w:val="0"/>
        <w:keepLines w:val="0"/>
        <w:pageBreakBefore w:val="0"/>
        <w:widowControl w:val="0"/>
        <w:kinsoku/>
        <w:wordWrap/>
        <w:overflowPunct/>
        <w:topLinePunct w:val="0"/>
        <w:autoSpaceDE/>
        <w:autoSpaceDN/>
        <w:bidi w:val="0"/>
        <w:snapToGrid/>
        <w:spacing w:line="440" w:lineRule="exact"/>
        <w:ind w:firstLine="561"/>
        <w:textAlignment w:val="auto"/>
        <w:rPr>
          <w:rFonts w:hint="eastAsia" w:ascii="仿宋" w:hAnsi="仿宋" w:eastAsia="仿宋" w:cs="仿宋"/>
          <w:sz w:val="28"/>
          <w:szCs w:val="28"/>
        </w:rPr>
      </w:pPr>
      <w:r>
        <w:rPr>
          <w:rFonts w:hint="eastAsia" w:ascii="仿宋" w:hAnsi="仿宋" w:eastAsia="仿宋" w:cs="仿宋"/>
          <w:sz w:val="28"/>
          <w:szCs w:val="28"/>
        </w:rPr>
        <w:t>2、报价人需按采购内容要求填写应标服务内容等。</w:t>
      </w:r>
    </w:p>
    <w:p>
      <w:pPr>
        <w:keepNext w:val="0"/>
        <w:keepLines w:val="0"/>
        <w:pageBreakBefore w:val="0"/>
        <w:widowControl w:val="0"/>
        <w:kinsoku/>
        <w:wordWrap/>
        <w:overflowPunct/>
        <w:topLinePunct w:val="0"/>
        <w:autoSpaceDE/>
        <w:autoSpaceDN/>
        <w:bidi w:val="0"/>
        <w:snapToGrid/>
        <w:spacing w:line="440" w:lineRule="exact"/>
        <w:ind w:firstLine="561"/>
        <w:textAlignment w:val="auto"/>
        <w:rPr>
          <w:rFonts w:hint="eastAsia" w:ascii="仿宋" w:hAnsi="仿宋" w:eastAsia="仿宋" w:cs="仿宋"/>
          <w:sz w:val="28"/>
          <w:szCs w:val="28"/>
        </w:rPr>
      </w:pPr>
      <w:r>
        <w:rPr>
          <w:rFonts w:hint="eastAsia" w:ascii="仿宋" w:hAnsi="仿宋" w:eastAsia="仿宋" w:cs="仿宋"/>
          <w:sz w:val="28"/>
          <w:szCs w:val="28"/>
        </w:rPr>
        <w:t>3、为保证项目进度和质量，投标人应根据实际情况制定完整的方案、人员配置及服务保障方法和措施等。</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七、其他要求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1、对于委托方的资产清查要求，供应商需逐一查清，并出具专项审计报告。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2、供应商需清理委托方清查中符合损失认定标准的应收款项，并出具损失认定鉴证报告。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、提供服务时如出现未按要求完成审计内容或与招投标文件不符的情况，供应商应无条件给予更正。</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、供应商确保所供应服务符合国家相关技术部门规定技术要求。</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、供应商派出审计人员中最少有1名注册会计师，需提供注册会计师证复印件，审计人员上岗需佩戴工作证。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、供应商以审计进场</w:t>
      </w:r>
      <w:r>
        <w:rPr>
          <w:rFonts w:hint="eastAsia" w:ascii="仿宋" w:hAnsi="仿宋" w:eastAsia="仿宋" w:cs="仿宋"/>
          <w:sz w:val="28"/>
          <w:szCs w:val="28"/>
          <w:lang w:val="en-US" w:eastAsia="zh-CN"/>
        </w:rPr>
        <w:t>会</w:t>
      </w:r>
      <w:r>
        <w:rPr>
          <w:rFonts w:hint="eastAsia" w:ascii="仿宋" w:hAnsi="仿宋" w:eastAsia="仿宋" w:cs="仿宋"/>
          <w:sz w:val="28"/>
          <w:szCs w:val="28"/>
        </w:rPr>
        <w:t>后</w:t>
      </w:r>
      <w:r>
        <w:rPr>
          <w:rFonts w:hint="eastAsia" w:ascii="仿宋" w:hAnsi="仿宋" w:eastAsia="仿宋" w:cs="仿宋"/>
          <w:sz w:val="28"/>
          <w:szCs w:val="28"/>
          <w:lang w:val="en-US" w:eastAsia="zh-CN"/>
        </w:rPr>
        <w:t>30</w:t>
      </w:r>
      <w:r>
        <w:rPr>
          <w:rFonts w:hint="eastAsia" w:ascii="仿宋" w:hAnsi="仿宋" w:eastAsia="仿宋" w:cs="仿宋"/>
          <w:sz w:val="28"/>
          <w:szCs w:val="28"/>
        </w:rPr>
        <w:t>日内完成审计工作，</w:t>
      </w:r>
      <w:r>
        <w:rPr>
          <w:rFonts w:hint="eastAsia" w:ascii="仿宋" w:hAnsi="仿宋" w:eastAsia="仿宋" w:cs="仿宋"/>
          <w:sz w:val="28"/>
          <w:szCs w:val="28"/>
          <w:lang w:val="en-US" w:eastAsia="zh-CN"/>
        </w:rPr>
        <w:t>40日内</w:t>
      </w:r>
      <w:r>
        <w:rPr>
          <w:rFonts w:hint="eastAsia" w:ascii="仿宋" w:hAnsi="仿宋" w:eastAsia="仿宋" w:cs="仿宋"/>
          <w:sz w:val="28"/>
          <w:szCs w:val="28"/>
        </w:rPr>
        <w:t>出具审计报告同时移交档案材料。</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、供应商应当遵守中国内部审计准则, 参照《第3101号内部审计实务指南——审计报告》出具审计报告。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、供应商制定审计工作方案，包括审计内容及重点、审计流程、审计抽样方法、采取的审计取证方法等内容。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、供应商完成审计项目后，按照审计档案管理相关规定汇总整理并在递交审计报告同时提交审计项目的档案资料。</w:t>
      </w:r>
    </w:p>
    <w:p>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八、合同期及结算方式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1、本项目为一次性采购服务项目；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Calibri" w:hAnsi="Calibri" w:eastAsia="宋体" w:cs="Times New Roman"/>
          <w:b/>
          <w:bCs/>
          <w:sz w:val="28"/>
          <w:szCs w:val="28"/>
          <w:lang w:val="en-US" w:eastAsia="zh-CN"/>
        </w:rPr>
      </w:pPr>
      <w:r>
        <w:rPr>
          <w:rFonts w:hint="eastAsia" w:ascii="仿宋" w:hAnsi="仿宋" w:eastAsia="仿宋" w:cs="仿宋"/>
          <w:sz w:val="28"/>
          <w:szCs w:val="28"/>
        </w:rPr>
        <w:t>2、结算方式：提交审核报告并开具正规的税务发票后90个自然日内一次性付清完成</w:t>
      </w:r>
      <w:r>
        <w:rPr>
          <w:rFonts w:hint="eastAsia" w:ascii="仿宋" w:hAnsi="仿宋" w:eastAsia="仿宋" w:cs="仿宋"/>
          <w:sz w:val="28"/>
          <w:szCs w:val="28"/>
          <w:lang w:val="en-US" w:eastAsia="zh-CN"/>
        </w:rPr>
        <w:t>审计</w:t>
      </w:r>
      <w:r>
        <w:rPr>
          <w:rFonts w:hint="eastAsia" w:ascii="仿宋" w:hAnsi="仿宋" w:eastAsia="仿宋" w:cs="仿宋"/>
          <w:sz w:val="28"/>
          <w:szCs w:val="28"/>
        </w:rPr>
        <w:t>项目的</w:t>
      </w:r>
      <w:r>
        <w:rPr>
          <w:rFonts w:hint="eastAsia" w:ascii="仿宋" w:hAnsi="仿宋" w:eastAsia="仿宋" w:cs="仿宋"/>
          <w:sz w:val="28"/>
          <w:szCs w:val="28"/>
          <w:lang w:val="en-US" w:eastAsia="zh-CN"/>
        </w:rPr>
        <w:t>审计</w:t>
      </w:r>
      <w:r>
        <w:rPr>
          <w:rFonts w:hint="eastAsia" w:ascii="仿宋" w:hAnsi="仿宋" w:eastAsia="仿宋" w:cs="仿宋"/>
          <w:sz w:val="28"/>
          <w:szCs w:val="28"/>
        </w:rPr>
        <w:t xml:space="preserve">服务费。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EF5DCD"/>
    <w:rsid w:val="7EF2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9"/>
    <w:pPr>
      <w:keepNext/>
      <w:keepLines/>
      <w:widowControl w:val="0"/>
      <w:spacing w:before="120" w:after="120"/>
      <w:jc w:val="both"/>
      <w:outlineLvl w:val="3"/>
    </w:pPr>
    <w:rPr>
      <w:rFonts w:ascii="Cambria" w:hAnsi="Cambria" w:eastAsia="宋体" w:cs="宋体"/>
      <w:b/>
      <w:bCs/>
      <w:kern w:val="0"/>
      <w:sz w:val="28"/>
      <w:szCs w:val="28"/>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2024-11-12T07:47:00Z</dcterms:created>
  <dc:creator>Administrator</dc:creator>
  <cp:lastModifiedBy>Administrator</cp:lastModifiedBy>
  <dcterms:modified xsi:type="dcterms:W3CDTF">2024-11-16T01:16:44Z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