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b/>
          <w:sz w:val="32"/>
          <w:szCs w:val="32"/>
          <w:shd w:val="clear" w:color="auto" w:fill="FFFFFF"/>
          <w:lang w:eastAsia="zh-CN"/>
        </w:rPr>
      </w:pPr>
      <w:r>
        <w:rPr>
          <w:rFonts w:hint="eastAsia" w:ascii="Calibri" w:hAnsi="Calibri" w:eastAsia="宋体" w:cs="Times New Roman"/>
          <w:b/>
          <w:bCs/>
          <w:sz w:val="32"/>
          <w:szCs w:val="32"/>
        </w:rPr>
        <w:t>柳州市工人医院</w:t>
      </w:r>
      <w:r>
        <w:rPr>
          <w:rFonts w:hint="eastAsia" w:ascii="Calibri" w:hAnsi="Calibri" w:eastAsia="宋体" w:cs="Times New Roman"/>
          <w:b/>
          <w:bCs/>
          <w:sz w:val="32"/>
          <w:szCs w:val="32"/>
          <w:lang w:val="en-US" w:eastAsia="zh-CN"/>
        </w:rPr>
        <w:t>医学数据库</w:t>
      </w:r>
      <w:r>
        <w:rPr>
          <w:rFonts w:hint="eastAsia" w:ascii="Calibri" w:hAnsi="Calibri" w:eastAsia="宋体" w:cs="Times New Roman"/>
          <w:b/>
          <w:bCs/>
          <w:sz w:val="32"/>
          <w:szCs w:val="32"/>
        </w:rPr>
        <w:t>项目采购需求</w:t>
      </w:r>
    </w:p>
    <w:p>
      <w:pPr>
        <w:adjustRightInd w:val="0"/>
        <w:spacing w:line="500" w:lineRule="exact"/>
        <w:rPr>
          <w:rFonts w:ascii="仿宋" w:hAnsi="仿宋" w:eastAsia="仿宋" w:cs="仿宋"/>
          <w:b/>
          <w:color w:val="000000"/>
          <w:sz w:val="28"/>
          <w:szCs w:val="28"/>
        </w:rPr>
      </w:pPr>
    </w:p>
    <w:p>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一、项目名称</w:t>
      </w:r>
    </w:p>
    <w:p>
      <w:pPr>
        <w:spacing w:line="500" w:lineRule="exact"/>
        <w:ind w:firstLine="480"/>
        <w:rPr>
          <w:rFonts w:ascii="仿宋" w:hAnsi="仿宋" w:eastAsia="仿宋" w:cs="仿宋"/>
          <w:bCs/>
          <w:color w:val="000000"/>
          <w:sz w:val="28"/>
          <w:szCs w:val="28"/>
        </w:rPr>
      </w:pPr>
      <w:r>
        <w:rPr>
          <w:rFonts w:hint="eastAsia" w:ascii="仿宋" w:hAnsi="仿宋" w:eastAsia="仿宋" w:cs="仿宋"/>
          <w:bCs/>
          <w:color w:val="000000"/>
          <w:sz w:val="28"/>
          <w:szCs w:val="28"/>
        </w:rPr>
        <w:t>柳州市工人医院</w:t>
      </w:r>
      <w:r>
        <w:rPr>
          <w:rFonts w:hint="eastAsia" w:ascii="仿宋" w:hAnsi="仿宋" w:eastAsia="仿宋" w:cs="仿宋"/>
          <w:bCs/>
          <w:color w:val="000000"/>
          <w:sz w:val="28"/>
          <w:szCs w:val="28"/>
          <w:lang w:val="en-US" w:eastAsia="zh-CN"/>
        </w:rPr>
        <w:t>医学数据库</w:t>
      </w:r>
      <w:r>
        <w:rPr>
          <w:rFonts w:hint="eastAsia" w:ascii="仿宋" w:hAnsi="仿宋" w:eastAsia="仿宋" w:cs="仿宋"/>
          <w:bCs/>
          <w:color w:val="000000"/>
          <w:sz w:val="28"/>
          <w:szCs w:val="28"/>
        </w:rPr>
        <w:t>项目采购</w:t>
      </w:r>
    </w:p>
    <w:p>
      <w:pPr>
        <w:adjustRightInd w:val="0"/>
        <w:spacing w:line="500" w:lineRule="exact"/>
        <w:rPr>
          <w:rFonts w:ascii="仿宋" w:hAnsi="仿宋" w:eastAsia="仿宋" w:cs="仿宋"/>
          <w:b/>
          <w:color w:val="000000"/>
          <w:sz w:val="28"/>
          <w:szCs w:val="28"/>
        </w:rPr>
      </w:pPr>
      <w:r>
        <w:rPr>
          <w:rFonts w:hint="eastAsia" w:ascii="仿宋" w:hAnsi="仿宋" w:eastAsia="仿宋" w:cs="仿宋"/>
          <w:b/>
          <w:color w:val="000000"/>
          <w:sz w:val="28"/>
          <w:szCs w:val="28"/>
        </w:rPr>
        <w:t>二、项目概况</w:t>
      </w:r>
    </w:p>
    <w:p>
      <w:pPr>
        <w:spacing w:line="500" w:lineRule="exact"/>
        <w:ind w:firstLine="480"/>
        <w:rPr>
          <w:rFonts w:ascii="仿宋" w:hAnsi="仿宋" w:eastAsia="仿宋" w:cs="仿宋"/>
          <w:bCs/>
          <w:color w:val="000000"/>
          <w:sz w:val="28"/>
          <w:szCs w:val="28"/>
        </w:rPr>
      </w:pPr>
      <w:r>
        <w:rPr>
          <w:rFonts w:hint="eastAsia" w:ascii="仿宋" w:hAnsi="仿宋" w:eastAsia="仿宋" w:cs="仿宋"/>
          <w:bCs/>
          <w:color w:val="000000"/>
          <w:sz w:val="28"/>
          <w:szCs w:val="28"/>
          <w:lang w:val="en-US" w:eastAsia="zh-CN"/>
        </w:rPr>
        <w:t>中英文医学文献</w:t>
      </w:r>
      <w:r>
        <w:rPr>
          <w:rFonts w:hint="eastAsia" w:ascii="仿宋" w:hAnsi="仿宋" w:eastAsia="仿宋" w:cs="仿宋"/>
          <w:bCs/>
          <w:color w:val="000000"/>
          <w:sz w:val="28"/>
          <w:szCs w:val="28"/>
        </w:rPr>
        <w:t>作为科研</w:t>
      </w:r>
      <w:r>
        <w:rPr>
          <w:rFonts w:hint="eastAsia" w:ascii="仿宋" w:hAnsi="仿宋" w:eastAsia="仿宋" w:cs="仿宋"/>
          <w:bCs/>
          <w:color w:val="000000"/>
          <w:sz w:val="28"/>
          <w:szCs w:val="28"/>
          <w:lang w:val="en-US" w:eastAsia="zh-CN"/>
        </w:rPr>
        <w:t>和教学必不可少的科研工具</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是医院科研工作和教学工作必不可少的一部分</w:t>
      </w:r>
      <w:r>
        <w:rPr>
          <w:rFonts w:hint="eastAsia" w:ascii="仿宋" w:hAnsi="仿宋" w:eastAsia="仿宋" w:cs="仿宋"/>
          <w:bCs/>
          <w:color w:val="000000"/>
          <w:sz w:val="28"/>
          <w:szCs w:val="28"/>
        </w:rPr>
        <w:t>。一直以来，医院的</w:t>
      </w:r>
      <w:r>
        <w:rPr>
          <w:rFonts w:hint="eastAsia" w:ascii="仿宋" w:hAnsi="仿宋" w:eastAsia="仿宋" w:cs="仿宋"/>
          <w:bCs/>
          <w:color w:val="000000"/>
          <w:sz w:val="28"/>
          <w:szCs w:val="28"/>
          <w:lang w:val="en-US" w:eastAsia="zh-CN"/>
        </w:rPr>
        <w:t>中英文文献服务一直由数据库公司提供</w:t>
      </w:r>
      <w:r>
        <w:rPr>
          <w:rFonts w:hint="eastAsia" w:ascii="仿宋" w:hAnsi="仿宋" w:eastAsia="仿宋" w:cs="仿宋"/>
          <w:bCs/>
          <w:color w:val="000000"/>
          <w:sz w:val="28"/>
          <w:szCs w:val="28"/>
        </w:rPr>
        <w:t>。因上一</w:t>
      </w:r>
      <w:r>
        <w:rPr>
          <w:rFonts w:hint="eastAsia" w:ascii="仿宋" w:hAnsi="仿宋" w:eastAsia="仿宋" w:cs="仿宋"/>
          <w:bCs/>
          <w:color w:val="000000"/>
          <w:sz w:val="28"/>
          <w:szCs w:val="28"/>
          <w:lang w:val="en-US" w:eastAsia="zh-CN"/>
        </w:rPr>
        <w:t>周期</w:t>
      </w:r>
      <w:r>
        <w:rPr>
          <w:rFonts w:hint="eastAsia" w:ascii="仿宋" w:hAnsi="仿宋" w:eastAsia="仿宋" w:cs="仿宋"/>
          <w:bCs/>
          <w:color w:val="000000"/>
          <w:sz w:val="28"/>
          <w:szCs w:val="28"/>
        </w:rPr>
        <w:t>合同</w:t>
      </w:r>
      <w:r>
        <w:rPr>
          <w:rFonts w:hint="eastAsia" w:ascii="仿宋" w:hAnsi="仿宋" w:eastAsia="仿宋" w:cs="仿宋"/>
          <w:bCs/>
          <w:color w:val="000000"/>
          <w:sz w:val="28"/>
          <w:szCs w:val="28"/>
          <w:lang w:val="en-US" w:eastAsia="zh-CN"/>
        </w:rPr>
        <w:t>即将</w:t>
      </w:r>
      <w:r>
        <w:rPr>
          <w:rFonts w:hint="eastAsia" w:ascii="仿宋" w:hAnsi="仿宋" w:eastAsia="仿宋" w:cs="仿宋"/>
          <w:bCs/>
          <w:color w:val="000000"/>
          <w:sz w:val="28"/>
          <w:szCs w:val="28"/>
        </w:rPr>
        <w:t>到期现</w:t>
      </w:r>
      <w:r>
        <w:rPr>
          <w:rFonts w:ascii="仿宋" w:hAnsi="仿宋" w:eastAsia="仿宋" w:cs="仿宋"/>
          <w:bCs/>
          <w:color w:val="000000"/>
          <w:sz w:val="28"/>
          <w:szCs w:val="28"/>
        </w:rPr>
        <w:t>需要</w:t>
      </w:r>
      <w:r>
        <w:rPr>
          <w:rFonts w:hint="eastAsia" w:ascii="仿宋" w:hAnsi="仿宋" w:eastAsia="仿宋" w:cs="仿宋"/>
          <w:bCs/>
          <w:color w:val="000000"/>
          <w:sz w:val="28"/>
          <w:szCs w:val="28"/>
        </w:rPr>
        <w:t>重新</w:t>
      </w:r>
      <w:r>
        <w:rPr>
          <w:rFonts w:ascii="仿宋" w:hAnsi="仿宋" w:eastAsia="仿宋" w:cs="仿宋"/>
          <w:bCs/>
          <w:color w:val="000000"/>
          <w:sz w:val="28"/>
          <w:szCs w:val="28"/>
        </w:rPr>
        <w:t>招标</w:t>
      </w:r>
      <w:r>
        <w:rPr>
          <w:rFonts w:hint="eastAsia" w:ascii="仿宋" w:hAnsi="仿宋" w:eastAsia="仿宋" w:cs="仿宋"/>
          <w:bCs/>
          <w:color w:val="000000"/>
          <w:sz w:val="28"/>
          <w:szCs w:val="28"/>
          <w:lang w:val="en-US" w:eastAsia="zh-CN"/>
        </w:rPr>
        <w:t>医学数据库</w:t>
      </w:r>
      <w:r>
        <w:rPr>
          <w:rFonts w:ascii="仿宋" w:hAnsi="仿宋" w:eastAsia="仿宋" w:cs="仿宋"/>
          <w:bCs/>
          <w:color w:val="000000"/>
          <w:sz w:val="28"/>
          <w:szCs w:val="28"/>
        </w:rPr>
        <w:t>公司</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提供中英文数据库文献服务</w:t>
      </w:r>
      <w:r>
        <w:rPr>
          <w:rFonts w:hint="eastAsia" w:ascii="仿宋" w:hAnsi="仿宋" w:eastAsia="仿宋" w:cs="仿宋"/>
          <w:bCs/>
          <w:color w:val="000000"/>
          <w:sz w:val="28"/>
          <w:szCs w:val="28"/>
        </w:rPr>
        <w:t>。</w:t>
      </w:r>
    </w:p>
    <w:p>
      <w:pPr>
        <w:spacing w:line="460" w:lineRule="exact"/>
        <w:rPr>
          <w:rFonts w:ascii="仿宋" w:hAnsi="仿宋" w:eastAsia="仿宋" w:cs="仿宋"/>
          <w:b/>
          <w:bCs/>
          <w:sz w:val="30"/>
          <w:szCs w:val="30"/>
        </w:rPr>
      </w:pPr>
      <w:r>
        <w:rPr>
          <w:rFonts w:hint="eastAsia" w:ascii="仿宋" w:hAnsi="仿宋" w:eastAsia="仿宋" w:cs="仿宋"/>
          <w:b/>
          <w:bCs/>
          <w:sz w:val="30"/>
          <w:szCs w:val="30"/>
        </w:rPr>
        <w:t>三、服务商资质条件</w:t>
      </w:r>
    </w:p>
    <w:p>
      <w:pPr>
        <w:numPr>
          <w:ilvl w:val="0"/>
          <w:numId w:val="1"/>
        </w:numPr>
        <w:spacing w:line="460" w:lineRule="exact"/>
        <w:ind w:left="0" w:leftChars="0" w:firstLine="600" w:firstLineChars="200"/>
        <w:rPr>
          <w:rFonts w:ascii="仿宋" w:hAnsi="仿宋" w:eastAsia="仿宋" w:cs="仿宋"/>
          <w:color w:val="000000" w:themeColor="text1"/>
          <w:sz w:val="30"/>
          <w:szCs w:val="30"/>
          <w14:textFill>
            <w14:solidFill>
              <w14:schemeClr w14:val="tx1"/>
            </w14:solidFill>
          </w14:textFill>
        </w:rPr>
      </w:pPr>
      <w:bookmarkStart w:id="0" w:name="OLE_LINK1"/>
      <w:r>
        <w:rPr>
          <w:rFonts w:hint="eastAsia" w:ascii="仿宋" w:hAnsi="仿宋" w:eastAsia="仿宋" w:cs="仿宋"/>
          <w:color w:val="000000" w:themeColor="text1"/>
          <w:sz w:val="30"/>
          <w:szCs w:val="30"/>
          <w14:textFill>
            <w14:solidFill>
              <w14:schemeClr w14:val="tx1"/>
            </w14:solidFill>
          </w14:textFill>
        </w:rPr>
        <w:t>具有独立承担民事责任的能力；在中华人民共和国境内注册并取得营业执照的独立法人，具有相应经营范围，（提供企业法人营业执照、组织机构代码证、税务登记证或三证合一的复印件）</w:t>
      </w:r>
      <w:r>
        <w:rPr>
          <w:rFonts w:hint="eastAsia" w:ascii="仿宋" w:hAnsi="仿宋" w:eastAsia="仿宋" w:cs="仿宋"/>
          <w:color w:val="000000" w:themeColor="text1"/>
          <w:sz w:val="30"/>
          <w:szCs w:val="30"/>
          <w:lang w:eastAsia="zh-CN"/>
          <w14:textFill>
            <w14:solidFill>
              <w14:schemeClr w14:val="tx1"/>
            </w14:solidFill>
          </w14:textFill>
        </w:rPr>
        <w:t>；</w:t>
      </w:r>
    </w:p>
    <w:bookmarkEnd w:id="0"/>
    <w:p>
      <w:pPr>
        <w:numPr>
          <w:ilvl w:val="0"/>
          <w:numId w:val="1"/>
        </w:numPr>
        <w:spacing w:line="460" w:lineRule="exact"/>
        <w:ind w:left="0" w:leftChars="0"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具有良好的商业信誉和健全的财务会计制度；</w:t>
      </w:r>
    </w:p>
    <w:p>
      <w:pPr>
        <w:numPr>
          <w:ilvl w:val="0"/>
          <w:numId w:val="1"/>
        </w:numPr>
        <w:spacing w:line="500" w:lineRule="exact"/>
        <w:ind w:left="0" w:leftChars="0" w:firstLine="60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具有履行合同所必需的设备和专业技术能力；具备完善的硬件设备、技术支持、服务体系和良好的团队。</w:t>
      </w:r>
      <w:r>
        <w:rPr>
          <w:rFonts w:hint="eastAsia" w:ascii="仿宋" w:hAnsi="仿宋" w:eastAsia="仿宋" w:cs="仿宋"/>
          <w:bCs/>
          <w:color w:val="000000" w:themeColor="text1"/>
          <w:sz w:val="28"/>
          <w:szCs w:val="28"/>
          <w14:textFill>
            <w14:solidFill>
              <w14:schemeClr w14:val="tx1"/>
            </w14:solidFill>
          </w14:textFill>
        </w:rPr>
        <w:t>具有履行合同所必需的专业技术及服务能力，能够提供较好的技术和服务响应方案；</w:t>
      </w:r>
    </w:p>
    <w:p>
      <w:pPr>
        <w:numPr>
          <w:ilvl w:val="0"/>
          <w:numId w:val="1"/>
        </w:numPr>
        <w:spacing w:line="460" w:lineRule="exact"/>
        <w:ind w:left="0" w:leftChars="0" w:firstLine="60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有依法缴纳税收和社会保障资金的良好记录；</w:t>
      </w:r>
    </w:p>
    <w:p>
      <w:pPr>
        <w:numPr>
          <w:ilvl w:val="0"/>
          <w:numId w:val="1"/>
        </w:numPr>
        <w:spacing w:line="460" w:lineRule="exact"/>
        <w:ind w:left="0" w:leftChars="0" w:firstLine="560" w:firstLineChars="20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参加政府采购活动前三年内，未因违法经营受到刑事处罚或者责令停产停业、吊销许可证或者执照、较大数额罚款等行政处罚；</w:t>
      </w:r>
    </w:p>
    <w:p>
      <w:pPr>
        <w:pStyle w:val="18"/>
        <w:numPr>
          <w:ilvl w:val="0"/>
          <w:numId w:val="2"/>
        </w:numPr>
        <w:spacing w:line="460" w:lineRule="exact"/>
        <w:ind w:firstLineChars="0"/>
        <w:rPr>
          <w:rFonts w:ascii="仿宋" w:hAnsi="仿宋" w:eastAsia="仿宋" w:cs="仿宋"/>
          <w:b/>
          <w:bCs/>
          <w:sz w:val="30"/>
          <w:szCs w:val="30"/>
          <w:highlight w:val="none"/>
        </w:rPr>
      </w:pPr>
      <w:r>
        <w:rPr>
          <w:rFonts w:hint="eastAsia" w:ascii="仿宋" w:hAnsi="仿宋" w:eastAsia="仿宋" w:cs="仿宋"/>
          <w:b/>
          <w:bCs/>
          <w:sz w:val="30"/>
          <w:szCs w:val="30"/>
          <w:highlight w:val="none"/>
        </w:rPr>
        <w:t>服务要求</w:t>
      </w:r>
    </w:p>
    <w:p>
      <w:pPr>
        <w:pStyle w:val="18"/>
        <w:numPr>
          <w:ilvl w:val="0"/>
          <w:numId w:val="3"/>
        </w:numPr>
        <w:tabs>
          <w:tab w:val="left" w:pos="312"/>
        </w:tabs>
        <w:spacing w:line="460" w:lineRule="exact"/>
        <w:ind w:left="0" w:leftChars="0" w:firstLine="600" w:firstLineChars="20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中文医学期刊：收录期刊全部为有CN号和ISSN号的国家正式发行的中文生物医学类期刊，内容覆盖预防医学、卫生学、基础医学、临床医学、内科学、外科学、妇产科学、儿科学、肿瘤学、中国医学、耳鼻咽喉科学、精神病学与精神病学、皮肤病学与性病学、眼科学、口腔科学、特种医学、药学、大学学报、医药卫生总论、神经病学与精神病学等；期刊收录不少于1500种，数据总量不少于1500万篇，</w:t>
      </w:r>
      <w:r>
        <w:rPr>
          <w:rFonts w:hint="eastAsia" w:ascii="仿宋" w:hAnsi="仿宋" w:eastAsia="仿宋" w:cs="仿宋"/>
          <w:b w:val="0"/>
          <w:bCs w:val="0"/>
          <w:kern w:val="2"/>
          <w:sz w:val="30"/>
          <w:szCs w:val="30"/>
          <w:highlight w:val="none"/>
          <w:lang w:val="en-US" w:eastAsia="zh-CN" w:bidi="ar-SA"/>
        </w:rPr>
        <w:t>全文</w:t>
      </w:r>
      <w:r>
        <w:rPr>
          <w:rFonts w:hint="eastAsia" w:ascii="仿宋" w:hAnsi="仿宋" w:eastAsia="仿宋" w:cs="仿宋"/>
          <w:b w:val="0"/>
          <w:bCs w:val="0"/>
          <w:color w:val="auto"/>
          <w:kern w:val="2"/>
          <w:sz w:val="30"/>
          <w:szCs w:val="30"/>
          <w:highlight w:val="none"/>
          <w:lang w:val="en-US" w:eastAsia="zh-CN" w:bidi="ar-SA"/>
        </w:rPr>
        <w:t>数据量不少于1200万篇；</w:t>
      </w:r>
      <w:r>
        <w:rPr>
          <w:rFonts w:hint="eastAsia" w:ascii="仿宋" w:hAnsi="仿宋" w:eastAsia="仿宋" w:cs="仿宋"/>
          <w:color w:val="auto"/>
          <w:kern w:val="2"/>
          <w:sz w:val="30"/>
          <w:szCs w:val="30"/>
          <w:highlight w:val="none"/>
          <w:lang w:val="en-US" w:eastAsia="zh-CN" w:bidi="ar-SA"/>
        </w:rPr>
        <w:t>收录中华医学会期刊，并提供合作协议证明。</w:t>
      </w:r>
    </w:p>
    <w:p>
      <w:pPr>
        <w:pStyle w:val="18"/>
        <w:numPr>
          <w:ilvl w:val="0"/>
          <w:numId w:val="3"/>
        </w:numPr>
        <w:spacing w:line="460" w:lineRule="exact"/>
        <w:ind w:left="0" w:leftChars="0"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检索结果可在同一界面实现刊名、作者、作者单位、收录源分类排序。</w:t>
      </w:r>
    </w:p>
    <w:p>
      <w:pPr>
        <w:pStyle w:val="18"/>
        <w:numPr>
          <w:ilvl w:val="0"/>
          <w:numId w:val="3"/>
        </w:numPr>
        <w:spacing w:line="460" w:lineRule="exact"/>
        <w:ind w:left="0" w:leftChars="0"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外文数据库必须包含外文文献资源和循证医学信息检索服务两大模块。</w:t>
      </w:r>
    </w:p>
    <w:p>
      <w:pPr>
        <w:pStyle w:val="18"/>
        <w:numPr>
          <w:ilvl w:val="0"/>
          <w:numId w:val="3"/>
        </w:numPr>
        <w:spacing w:line="460" w:lineRule="exact"/>
        <w:ind w:left="0" w:leftChars="0"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检索平台需至少整合100000种以上的外文生物医学等方面的核心期刊和重要期刊文摘信息，提供智能检索、文献评价、文献过滤、知识发现、统计分析、全文获取等多项一体化功能。收录的每一种SCIE期刊需列出最新的影响因子值和最近几年的影响因子值的变化。收录范围应包含至少90%的国际临床核心期刊。在检索功能方面，需有基本检索（中文、英文双语检索、截词检索、词组检索）、主题词检索（支持主题词检索、主题词自动转化、主题词自动扩充的功能）、ICD-10疾病导航检索、检索史检索、策略检索、期刊导航检索等，各检索功能支持中英文双语检索功能和标题摘要翻译功能。需设置文献类型过滤器和文献统计分析功能，帮助临床医生了解本行业动态。收录的期刊信息需有中文简介和全文通道揭示等信息。支持AI生成检索式，根据读者输入的问题描述，智能提取关键词，并根据关键词扩展同义词。然后，根据布尔逻辑，生成中文和英文的检索式。</w:t>
      </w:r>
    </w:p>
    <w:p>
      <w:pPr>
        <w:pStyle w:val="18"/>
        <w:numPr>
          <w:ilvl w:val="0"/>
          <w:numId w:val="3"/>
        </w:numPr>
        <w:spacing w:line="460" w:lineRule="exact"/>
        <w:ind w:left="0" w:leftChars="0"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证医学检索平台服务要求需收录国际上公认的权威循证医学检索平台资源约80%以上，涵盖循证资源6S模型中每个层级的证据资源。</w:t>
      </w:r>
    </w:p>
    <w:p>
      <w:pPr>
        <w:pStyle w:val="18"/>
        <w:numPr>
          <w:ilvl w:val="0"/>
          <w:numId w:val="3"/>
        </w:numPr>
        <w:spacing w:line="460" w:lineRule="exact"/>
        <w:ind w:left="0" w:leftChars="0"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检索功能方面需有PICO检索、主题词检索、文本词检索等专业检索，有疾病导航类检索和诊疗寻证检索功能，可以帮助临床医生确诊各种罕见病，获取关于疾病诊断的金标准文献，查找治疗疾病最佳的干预方法，辅助临床医生在治疗疾病时制定治疗方案等。有科研发现功能，并且提供证据文献来证明其科学价值和应用价值。</w:t>
      </w:r>
    </w:p>
    <w:p>
      <w:pPr>
        <w:pStyle w:val="18"/>
        <w:numPr>
          <w:ilvl w:val="0"/>
          <w:numId w:val="3"/>
        </w:numPr>
        <w:spacing w:line="460" w:lineRule="exact"/>
        <w:ind w:left="0" w:leftChars="0"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其他服务要求</w:t>
      </w:r>
    </w:p>
    <w:p>
      <w:pPr>
        <w:pStyle w:val="18"/>
        <w:numPr>
          <w:ilvl w:val="0"/>
          <w:numId w:val="4"/>
        </w:numPr>
        <w:spacing w:line="460" w:lineRule="exact"/>
        <w:ind w:left="425" w:leftChars="0" w:hanging="425"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需提供PDF全文翻译功能，辅助读者阅读英文全文。</w:t>
      </w:r>
    </w:p>
    <w:p>
      <w:pPr>
        <w:pStyle w:val="18"/>
        <w:numPr>
          <w:ilvl w:val="0"/>
          <w:numId w:val="4"/>
        </w:numPr>
        <w:spacing w:line="460" w:lineRule="exact"/>
        <w:ind w:left="425" w:leftChars="0" w:hanging="425"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售后用户培训方面：需供应商产品经理配合医院相关部门一起对读者进行检索平台使用方面的培训。</w:t>
      </w:r>
    </w:p>
    <w:p>
      <w:pPr>
        <w:pStyle w:val="18"/>
        <w:numPr>
          <w:ilvl w:val="0"/>
          <w:numId w:val="4"/>
        </w:numPr>
        <w:spacing w:line="460" w:lineRule="exact"/>
        <w:ind w:left="425" w:leftChars="0" w:hanging="425"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检索平台安装、更新、升级方面：供应商技术人员协助进行检索平台安装、技术维护、操作培训，技术人员每月上门更新维护数据；互联网数据至少可以保证更新的数据是到当前时间的前一周数据。</w:t>
      </w:r>
    </w:p>
    <w:p>
      <w:pPr>
        <w:pStyle w:val="18"/>
        <w:numPr>
          <w:ilvl w:val="0"/>
          <w:numId w:val="4"/>
        </w:numPr>
        <w:spacing w:line="460" w:lineRule="exact"/>
        <w:ind w:left="425" w:leftChars="0" w:hanging="425" w:firstLineChars="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在广西有售后服务机构或办事处，可以全天24小时联系到相关工作人员，为订购后的产品维护和服务提供保障。</w:t>
      </w:r>
    </w:p>
    <w:p>
      <w:pPr>
        <w:pStyle w:val="18"/>
        <w:numPr>
          <w:ilvl w:val="0"/>
          <w:numId w:val="3"/>
        </w:numPr>
        <w:spacing w:line="460" w:lineRule="exact"/>
        <w:ind w:left="0" w:leftChars="0" w:firstLine="600" w:firstLineChars="200"/>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不限制并发用户数量，不限制IP地址、不限量。</w:t>
      </w:r>
    </w:p>
    <w:p>
      <w:pPr>
        <w:numPr>
          <w:ilvl w:val="0"/>
          <w:numId w:val="3"/>
        </w:numPr>
        <w:spacing w:line="460" w:lineRule="exact"/>
        <w:ind w:left="0" w:leftChars="0" w:firstLine="600" w:firstLineChars="20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中标人对本次招标内容所列产品提供叁年运维质保期服务，运维服务从双方签署最终验收报告之日算起。</w:t>
      </w:r>
    </w:p>
    <w:p>
      <w:pPr>
        <w:numPr>
          <w:ilvl w:val="0"/>
          <w:numId w:val="3"/>
        </w:numPr>
        <w:spacing w:line="460" w:lineRule="exact"/>
        <w:ind w:left="0" w:leftChars="0" w:firstLine="600" w:firstLineChars="20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中标人必须保证系统运行的日常监控，及时发现和排除故障，保证一线技术支持人员7×24小时的售后服务，免费上门保修服务，半小时内响应，48小时内到达现场，24小时内解决故障。</w:t>
      </w:r>
    </w:p>
    <w:p>
      <w:pPr>
        <w:numPr>
          <w:ilvl w:val="0"/>
          <w:numId w:val="3"/>
        </w:numPr>
        <w:spacing w:line="460" w:lineRule="exact"/>
        <w:ind w:left="0" w:leftChars="0" w:firstLine="600" w:firstLineChars="20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在质保期内，中标人必须及时响应用户故障，当故障发生后24小时内解决故障，需现场解决的48小时内赶到用户现场并及时调查故障原因并修复，直至满足最终验收指标和性能的要求。</w:t>
      </w:r>
    </w:p>
    <w:p>
      <w:pPr>
        <w:numPr>
          <w:ilvl w:val="0"/>
          <w:numId w:val="3"/>
        </w:numPr>
        <w:spacing w:line="460" w:lineRule="exact"/>
        <w:ind w:left="0" w:leftChars="0" w:firstLine="600" w:firstLineChars="200"/>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pPr>
      <w:bookmarkStart w:id="1" w:name="_GoBack"/>
      <w:bookmarkEnd w:id="1"/>
      <w:r>
        <w:rPr>
          <w:rFonts w:hint="eastAsia" w:ascii="仿宋" w:hAnsi="仿宋" w:eastAsia="仿宋" w:cs="仿宋"/>
          <w:color w:val="000000" w:themeColor="text1"/>
          <w:kern w:val="2"/>
          <w:sz w:val="30"/>
          <w:szCs w:val="30"/>
          <w:highlight w:val="none"/>
          <w:lang w:val="en-US" w:eastAsia="zh-CN" w:bidi="ar-SA"/>
          <w14:textFill>
            <w14:solidFill>
              <w14:schemeClr w14:val="tx1"/>
            </w14:solidFill>
          </w14:textFill>
        </w:rPr>
        <w:t>定期维护及优化系统，通过定期的技术检查，可及时排除故障隐患，以免问题发生后影响业务运作，还能及时调优系统性能，使系统始终处于高效率运行状态。</w:t>
      </w:r>
    </w:p>
    <w:p>
      <w:pPr>
        <w:numPr>
          <w:ilvl w:val="0"/>
          <w:numId w:val="5"/>
        </w:numPr>
        <w:spacing w:line="460" w:lineRule="exact"/>
        <w:rPr>
          <w:rFonts w:ascii="仿宋" w:hAnsi="仿宋" w:eastAsia="仿宋" w:cs="仿宋"/>
          <w:b/>
          <w:bCs/>
          <w:sz w:val="30"/>
          <w:szCs w:val="30"/>
        </w:rPr>
      </w:pPr>
      <w:r>
        <w:rPr>
          <w:rFonts w:hint="eastAsia" w:ascii="仿宋" w:hAnsi="仿宋" w:eastAsia="仿宋" w:cs="仿宋"/>
          <w:b/>
          <w:bCs/>
          <w:sz w:val="30"/>
          <w:szCs w:val="30"/>
        </w:rPr>
        <w:t>合同期及结算方式</w:t>
      </w:r>
    </w:p>
    <w:p>
      <w:pPr>
        <w:numPr>
          <w:ilvl w:val="0"/>
          <w:numId w:val="6"/>
        </w:numPr>
        <w:spacing w:line="46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合同期限为：服务期</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年</w:t>
      </w:r>
      <w:r>
        <w:rPr>
          <w:rFonts w:hint="eastAsia" w:ascii="仿宋" w:hAnsi="仿宋" w:eastAsia="仿宋" w:cs="仿宋"/>
          <w:color w:val="000000"/>
          <w:sz w:val="30"/>
          <w:szCs w:val="30"/>
          <w:lang w:eastAsia="zh-CN"/>
        </w:rPr>
        <w:t>。</w:t>
      </w:r>
    </w:p>
    <w:p>
      <w:pPr>
        <w:numPr>
          <w:ilvl w:val="0"/>
          <w:numId w:val="6"/>
        </w:numPr>
        <w:spacing w:line="460" w:lineRule="exact"/>
        <w:ind w:firstLine="600" w:firstLineChars="200"/>
        <w:rPr>
          <w:rFonts w:ascii="仿宋" w:hAnsi="仿宋" w:eastAsia="仿宋" w:cs="仿宋"/>
          <w:b/>
          <w:bCs/>
          <w:color w:val="auto"/>
          <w:sz w:val="30"/>
          <w:szCs w:val="30"/>
        </w:rPr>
      </w:pPr>
      <w:r>
        <w:rPr>
          <w:rFonts w:hint="eastAsia" w:ascii="仿宋" w:hAnsi="仿宋" w:eastAsia="仿宋" w:cs="仿宋"/>
          <w:color w:val="auto"/>
          <w:sz w:val="30"/>
          <w:szCs w:val="30"/>
        </w:rPr>
        <w:t>结算方式：按合同约定</w:t>
      </w:r>
      <w:r>
        <w:rPr>
          <w:rFonts w:hint="eastAsia" w:ascii="仿宋" w:hAnsi="仿宋" w:eastAsia="仿宋" w:cs="仿宋"/>
          <w:color w:val="auto"/>
          <w:sz w:val="30"/>
          <w:szCs w:val="30"/>
          <w:lang w:val="en-US" w:eastAsia="zh-CN"/>
        </w:rPr>
        <w:t>每年付款一次</w:t>
      </w:r>
      <w:r>
        <w:rPr>
          <w:rFonts w:hint="eastAsia" w:ascii="仿宋" w:hAnsi="仿宋" w:eastAsia="仿宋" w:cs="仿宋"/>
          <w:color w:val="auto"/>
          <w:sz w:val="30"/>
          <w:szCs w:val="30"/>
        </w:rPr>
        <w:t>，由甲方根据</w:t>
      </w:r>
      <w:r>
        <w:rPr>
          <w:rFonts w:hint="eastAsia" w:ascii="仿宋" w:hAnsi="仿宋" w:eastAsia="仿宋" w:cs="仿宋"/>
          <w:color w:val="auto"/>
          <w:sz w:val="30"/>
          <w:szCs w:val="30"/>
          <w:lang w:val="en-US" w:eastAsia="zh-CN"/>
        </w:rPr>
        <w:t>合同内容</w:t>
      </w:r>
      <w:r>
        <w:rPr>
          <w:rFonts w:hint="eastAsia" w:ascii="仿宋" w:hAnsi="仿宋" w:eastAsia="仿宋" w:cs="仿宋"/>
          <w:color w:val="auto"/>
          <w:sz w:val="30"/>
          <w:szCs w:val="30"/>
        </w:rPr>
        <w:t>支付服务商。</w:t>
      </w:r>
    </w:p>
    <w:p>
      <w:pPr>
        <w:numPr>
          <w:ilvl w:val="0"/>
          <w:numId w:val="5"/>
        </w:numPr>
        <w:spacing w:line="460" w:lineRule="exact"/>
        <w:rPr>
          <w:rFonts w:ascii="仿宋" w:hAnsi="仿宋" w:eastAsia="仿宋" w:cs="仿宋"/>
          <w:b/>
          <w:bCs/>
          <w:sz w:val="30"/>
          <w:szCs w:val="30"/>
        </w:rPr>
      </w:pPr>
      <w:r>
        <w:rPr>
          <w:rFonts w:hint="eastAsia" w:ascii="仿宋" w:hAnsi="仿宋" w:eastAsia="仿宋" w:cs="仿宋"/>
          <w:b/>
          <w:bCs/>
          <w:sz w:val="30"/>
          <w:szCs w:val="30"/>
        </w:rPr>
        <w:t>服务报价方式</w:t>
      </w:r>
    </w:p>
    <w:tbl>
      <w:tblPr>
        <w:tblStyle w:val="10"/>
        <w:tblW w:w="10312" w:type="dxa"/>
        <w:jc w:val="center"/>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493"/>
        <w:gridCol w:w="2042"/>
        <w:gridCol w:w="200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69" w:type="dxa"/>
          </w:tcPr>
          <w:p>
            <w:pPr>
              <w:spacing w:line="460" w:lineRule="exact"/>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4493" w:type="dxa"/>
          </w:tcPr>
          <w:p>
            <w:pPr>
              <w:spacing w:line="460" w:lineRule="exact"/>
              <w:jc w:val="center"/>
              <w:rPr>
                <w:rFonts w:ascii="仿宋" w:hAnsi="仿宋" w:eastAsia="仿宋" w:cs="仿宋"/>
                <w:b/>
                <w:bCs/>
                <w:sz w:val="28"/>
                <w:szCs w:val="28"/>
              </w:rPr>
            </w:pPr>
            <w:r>
              <w:rPr>
                <w:rFonts w:hint="eastAsia" w:ascii="仿宋" w:hAnsi="仿宋" w:eastAsia="仿宋" w:cs="仿宋"/>
                <w:b/>
                <w:bCs/>
                <w:sz w:val="28"/>
                <w:szCs w:val="28"/>
              </w:rPr>
              <w:t>服务内容</w:t>
            </w:r>
          </w:p>
        </w:tc>
        <w:tc>
          <w:tcPr>
            <w:tcW w:w="2042" w:type="dxa"/>
          </w:tcPr>
          <w:p>
            <w:pPr>
              <w:spacing w:line="460" w:lineRule="exact"/>
              <w:jc w:val="center"/>
              <w:rPr>
                <w:rFonts w:ascii="仿宋" w:hAnsi="仿宋" w:eastAsia="仿宋" w:cs="仿宋"/>
                <w:b/>
                <w:bCs/>
                <w:sz w:val="28"/>
                <w:szCs w:val="28"/>
              </w:rPr>
            </w:pPr>
            <w:r>
              <w:rPr>
                <w:rFonts w:hint="eastAsia" w:ascii="仿宋" w:hAnsi="仿宋" w:eastAsia="仿宋" w:cs="仿宋"/>
                <w:b/>
                <w:bCs/>
                <w:sz w:val="28"/>
                <w:szCs w:val="28"/>
              </w:rPr>
              <w:t>单价（元</w:t>
            </w:r>
            <w:r>
              <w:rPr>
                <w:rFonts w:hint="eastAsia" w:ascii="仿宋" w:hAnsi="仿宋" w:eastAsia="仿宋" w:cs="仿宋"/>
                <w:b/>
                <w:bCs/>
                <w:sz w:val="28"/>
                <w:szCs w:val="28"/>
                <w:lang w:val="en-US" w:eastAsia="zh-CN"/>
              </w:rPr>
              <w:t>/年</w:t>
            </w:r>
            <w:r>
              <w:rPr>
                <w:rFonts w:hint="eastAsia" w:ascii="仿宋" w:hAnsi="仿宋" w:eastAsia="仿宋" w:cs="仿宋"/>
                <w:b/>
                <w:bCs/>
                <w:sz w:val="28"/>
                <w:szCs w:val="28"/>
              </w:rPr>
              <w:t>）</w:t>
            </w:r>
          </w:p>
        </w:tc>
        <w:tc>
          <w:tcPr>
            <w:tcW w:w="2008" w:type="dxa"/>
          </w:tcPr>
          <w:p>
            <w:pPr>
              <w:spacing w:line="460" w:lineRule="exact"/>
              <w:jc w:val="center"/>
              <w:rPr>
                <w:rFonts w:ascii="仿宋" w:hAnsi="仿宋" w:eastAsia="仿宋" w:cs="仿宋"/>
                <w:b/>
                <w:bCs/>
                <w:sz w:val="28"/>
                <w:szCs w:val="28"/>
              </w:rPr>
            </w:pPr>
            <w:r>
              <w:rPr>
                <w:rFonts w:hint="eastAsia" w:ascii="仿宋" w:hAnsi="仿宋" w:eastAsia="仿宋" w:cs="仿宋"/>
                <w:b/>
                <w:bCs/>
                <w:sz w:val="28"/>
                <w:szCs w:val="28"/>
              </w:rPr>
              <w:t>合计（</w:t>
            </w:r>
            <w:r>
              <w:rPr>
                <w:rFonts w:hint="eastAsia" w:ascii="仿宋" w:hAnsi="仿宋" w:eastAsia="仿宋" w:cs="仿宋"/>
                <w:b/>
                <w:bCs/>
                <w:sz w:val="28"/>
                <w:szCs w:val="28"/>
                <w:lang w:val="en-US" w:eastAsia="zh-CN"/>
              </w:rPr>
              <w:t>3年/</w:t>
            </w:r>
            <w:r>
              <w:rPr>
                <w:rFonts w:hint="eastAsia" w:ascii="仿宋" w:hAnsi="仿宋" w:eastAsia="仿宋" w:cs="仿宋"/>
                <w:b/>
                <w:bCs/>
                <w:sz w:val="28"/>
                <w:szCs w:val="28"/>
              </w:rPr>
              <w:t>元）</w:t>
            </w:r>
          </w:p>
        </w:tc>
        <w:tc>
          <w:tcPr>
            <w:tcW w:w="900" w:type="dxa"/>
          </w:tcPr>
          <w:p>
            <w:pPr>
              <w:spacing w:line="46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9" w:type="dxa"/>
          </w:tcPr>
          <w:p>
            <w:pPr>
              <w:spacing w:line="4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w:t>
            </w:r>
          </w:p>
        </w:tc>
        <w:tc>
          <w:tcPr>
            <w:tcW w:w="4493" w:type="dxa"/>
            <w:vAlign w:val="top"/>
          </w:tcPr>
          <w:p>
            <w:pPr>
              <w:spacing w:line="460" w:lineRule="exact"/>
              <w:rPr>
                <w:rFonts w:hint="default" w:ascii="仿宋" w:hAnsi="仿宋" w:eastAsia="仿宋" w:cs="仿宋"/>
                <w:b/>
                <w:bCs/>
                <w:sz w:val="28"/>
                <w:szCs w:val="28"/>
                <w:lang w:val="en-US" w:eastAsia="zh-CN"/>
              </w:rPr>
            </w:pPr>
            <w:r>
              <w:rPr>
                <w:rFonts w:hint="eastAsia" w:ascii="仿宋" w:hAnsi="仿宋" w:eastAsia="仿宋" w:cs="仿宋"/>
                <w:bCs/>
                <w:color w:val="auto"/>
                <w:sz w:val="28"/>
                <w:szCs w:val="28"/>
                <w:lang w:val="en-US" w:eastAsia="zh-CN"/>
              </w:rPr>
              <w:t>中国医院知识总库期刊全文数据库</w:t>
            </w:r>
          </w:p>
        </w:tc>
        <w:tc>
          <w:tcPr>
            <w:tcW w:w="2042" w:type="dxa"/>
            <w:vAlign w:val="top"/>
          </w:tcPr>
          <w:p>
            <w:pPr>
              <w:spacing w:line="460" w:lineRule="exact"/>
              <w:rPr>
                <w:rFonts w:hint="default" w:ascii="仿宋" w:hAnsi="仿宋" w:eastAsia="仿宋" w:cs="仿宋"/>
                <w:b w:val="0"/>
                <w:bCs/>
                <w:sz w:val="28"/>
                <w:szCs w:val="28"/>
                <w:lang w:val="en-US" w:eastAsia="zh-CN"/>
              </w:rPr>
            </w:pPr>
          </w:p>
        </w:tc>
        <w:tc>
          <w:tcPr>
            <w:tcW w:w="2008" w:type="dxa"/>
            <w:vAlign w:val="top"/>
          </w:tcPr>
          <w:p>
            <w:pPr>
              <w:spacing w:line="460" w:lineRule="exact"/>
              <w:jc w:val="center"/>
              <w:rPr>
                <w:rFonts w:hint="default" w:ascii="仿宋" w:hAnsi="仿宋" w:eastAsia="仿宋" w:cs="仿宋"/>
                <w:b w:val="0"/>
                <w:bCs/>
                <w:sz w:val="28"/>
                <w:szCs w:val="28"/>
                <w:lang w:val="en-US" w:eastAsia="zh-CN"/>
              </w:rPr>
            </w:pPr>
          </w:p>
        </w:tc>
        <w:tc>
          <w:tcPr>
            <w:tcW w:w="900" w:type="dxa"/>
          </w:tcPr>
          <w:p>
            <w:pPr>
              <w:spacing w:line="460" w:lineRule="exact"/>
              <w:rPr>
                <w:rFonts w:hint="default"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69" w:type="dxa"/>
            <w:shd w:val="clear" w:color="auto" w:fill="auto"/>
            <w:vAlign w:val="top"/>
          </w:tcPr>
          <w:p>
            <w:pPr>
              <w:spacing w:line="4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sz w:val="28"/>
                <w:szCs w:val="28"/>
                <w:lang w:val="en-US" w:eastAsia="zh-CN"/>
              </w:rPr>
              <w:t>2</w:t>
            </w:r>
          </w:p>
        </w:tc>
        <w:tc>
          <w:tcPr>
            <w:tcW w:w="4493" w:type="dxa"/>
            <w:shd w:val="clear" w:color="auto" w:fill="auto"/>
            <w:vAlign w:val="top"/>
          </w:tcPr>
          <w:p>
            <w:pPr>
              <w:spacing w:line="460" w:lineRule="exact"/>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sz w:val="28"/>
                <w:szCs w:val="28"/>
                <w:lang w:val="en-US" w:eastAsia="zh-CN"/>
              </w:rPr>
              <w:t>中华医学会期刊</w:t>
            </w:r>
          </w:p>
        </w:tc>
        <w:tc>
          <w:tcPr>
            <w:tcW w:w="2042" w:type="dxa"/>
            <w:shd w:val="clear" w:color="auto" w:fill="auto"/>
            <w:vAlign w:val="top"/>
          </w:tcPr>
          <w:p>
            <w:pPr>
              <w:spacing w:line="460" w:lineRule="exact"/>
              <w:rPr>
                <w:rFonts w:hint="default" w:ascii="仿宋" w:hAnsi="仿宋" w:eastAsia="仿宋" w:cs="仿宋"/>
                <w:b w:val="0"/>
                <w:bCs/>
                <w:color w:val="auto"/>
                <w:kern w:val="2"/>
                <w:sz w:val="28"/>
                <w:szCs w:val="28"/>
                <w:lang w:val="en-US" w:eastAsia="zh-CN" w:bidi="ar-SA"/>
              </w:rPr>
            </w:pPr>
          </w:p>
        </w:tc>
        <w:tc>
          <w:tcPr>
            <w:tcW w:w="2008" w:type="dxa"/>
            <w:shd w:val="clear" w:color="auto" w:fill="auto"/>
            <w:vAlign w:val="top"/>
          </w:tcPr>
          <w:p>
            <w:pPr>
              <w:spacing w:line="460" w:lineRule="exact"/>
              <w:jc w:val="center"/>
              <w:rPr>
                <w:rFonts w:hint="eastAsia" w:ascii="仿宋" w:hAnsi="仿宋" w:eastAsia="仿宋" w:cs="仿宋"/>
                <w:b w:val="0"/>
                <w:bCs/>
                <w:color w:val="auto"/>
                <w:kern w:val="2"/>
                <w:sz w:val="28"/>
                <w:szCs w:val="28"/>
                <w:lang w:val="en-US" w:eastAsia="zh-CN" w:bidi="ar-SA"/>
              </w:rPr>
            </w:pPr>
          </w:p>
        </w:tc>
        <w:tc>
          <w:tcPr>
            <w:tcW w:w="900" w:type="dxa"/>
          </w:tcPr>
          <w:p>
            <w:pPr>
              <w:spacing w:line="460" w:lineRule="exact"/>
              <w:rPr>
                <w:rFonts w:hint="default" w:ascii="仿宋" w:hAnsi="仿宋" w:eastAsia="仿宋" w:cs="仿宋"/>
                <w:b/>
                <w:b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69" w:type="dxa"/>
          </w:tcPr>
          <w:p>
            <w:pPr>
              <w:spacing w:line="460" w:lineRule="exact"/>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p>
        </w:tc>
        <w:tc>
          <w:tcPr>
            <w:tcW w:w="4493" w:type="dxa"/>
            <w:vAlign w:val="top"/>
          </w:tcPr>
          <w:p>
            <w:pPr>
              <w:spacing w:line="460" w:lineRule="exact"/>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外文医学信息资源检索数据库</w:t>
            </w:r>
          </w:p>
        </w:tc>
        <w:tc>
          <w:tcPr>
            <w:tcW w:w="2042" w:type="dxa"/>
            <w:vAlign w:val="top"/>
          </w:tcPr>
          <w:p>
            <w:pPr>
              <w:spacing w:line="460" w:lineRule="exact"/>
              <w:rPr>
                <w:rFonts w:hint="default" w:ascii="仿宋" w:hAnsi="仿宋" w:eastAsia="仿宋" w:cs="仿宋"/>
                <w:b w:val="0"/>
                <w:bCs/>
                <w:color w:val="auto"/>
                <w:sz w:val="28"/>
                <w:szCs w:val="28"/>
                <w:lang w:val="en-US" w:eastAsia="zh-CN"/>
              </w:rPr>
            </w:pPr>
          </w:p>
        </w:tc>
        <w:tc>
          <w:tcPr>
            <w:tcW w:w="2008" w:type="dxa"/>
            <w:vAlign w:val="top"/>
          </w:tcPr>
          <w:p>
            <w:pPr>
              <w:spacing w:line="460" w:lineRule="exact"/>
              <w:jc w:val="center"/>
              <w:rPr>
                <w:rFonts w:hint="default" w:ascii="仿宋" w:hAnsi="仿宋" w:eastAsia="仿宋" w:cs="仿宋"/>
                <w:b w:val="0"/>
                <w:bCs/>
                <w:color w:val="auto"/>
                <w:sz w:val="28"/>
                <w:szCs w:val="28"/>
                <w:lang w:val="en-US" w:eastAsia="zh-CN"/>
              </w:rPr>
            </w:pPr>
          </w:p>
        </w:tc>
        <w:tc>
          <w:tcPr>
            <w:tcW w:w="900" w:type="dxa"/>
            <w:vAlign w:val="top"/>
          </w:tcPr>
          <w:p>
            <w:pPr>
              <w:spacing w:line="460" w:lineRule="exact"/>
              <w:rPr>
                <w:rFonts w:hint="default" w:ascii="仿宋" w:hAnsi="仿宋" w:eastAsia="仿宋" w:cs="仿宋"/>
                <w:bCs/>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10312" w:type="dxa"/>
            <w:gridSpan w:val="5"/>
          </w:tcPr>
          <w:p>
            <w:pPr>
              <w:spacing w:line="460" w:lineRule="exact"/>
              <w:rPr>
                <w:rFonts w:hint="default" w:ascii="仿宋" w:hAnsi="仿宋" w:eastAsia="仿宋" w:cs="仿宋"/>
                <w:b/>
                <w:bCs/>
                <w:sz w:val="30"/>
                <w:szCs w:val="30"/>
                <w:lang w:val="en-US" w:eastAsia="zh-CN"/>
              </w:rPr>
            </w:pPr>
            <w:r>
              <w:rPr>
                <w:rFonts w:hint="eastAsia" w:ascii="仿宋" w:hAnsi="仿宋" w:eastAsia="仿宋" w:cs="仿宋"/>
                <w:b/>
                <w:bCs/>
                <w:sz w:val="30"/>
                <w:szCs w:val="30"/>
              </w:rPr>
              <w:t>合计金额（元）：</w:t>
            </w:r>
          </w:p>
        </w:tc>
      </w:tr>
    </w:tbl>
    <w:p>
      <w:pPr>
        <w:spacing w:line="460" w:lineRule="exact"/>
        <w:rPr>
          <w:rFonts w:ascii="仿宋" w:hAnsi="仿宋" w:eastAsia="仿宋" w:cs="仿宋"/>
          <w:b/>
          <w:bCs/>
          <w:sz w:val="30"/>
          <w:szCs w:val="30"/>
        </w:rPr>
      </w:pPr>
      <w:r>
        <w:rPr>
          <w:rFonts w:hint="eastAsia" w:ascii="仿宋" w:hAnsi="仿宋" w:eastAsia="仿宋" w:cs="仿宋"/>
          <w:b/>
          <w:bCs/>
          <w:sz w:val="30"/>
          <w:szCs w:val="30"/>
        </w:rPr>
        <w:t>七、服务商遴选方式</w:t>
      </w:r>
    </w:p>
    <w:p>
      <w:pPr>
        <w:spacing w:line="4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对服务商的服务质量、及时性及价格进行综合评价，同时遴选</w:t>
      </w:r>
      <w:r>
        <w:rPr>
          <w:rFonts w:hint="eastAsia" w:ascii="仿宋" w:hAnsi="仿宋" w:eastAsia="仿宋" w:cs="仿宋"/>
          <w:sz w:val="30"/>
          <w:szCs w:val="30"/>
          <w:lang w:val="en-US" w:eastAsia="zh-CN"/>
        </w:rPr>
        <w:t>3</w:t>
      </w:r>
      <w:r>
        <w:rPr>
          <w:rFonts w:hint="eastAsia" w:ascii="仿宋" w:hAnsi="仿宋" w:eastAsia="仿宋" w:cs="仿宋"/>
          <w:sz w:val="30"/>
          <w:szCs w:val="30"/>
        </w:rPr>
        <w:t>家</w:t>
      </w:r>
      <w:r>
        <w:rPr>
          <w:rFonts w:hint="eastAsia" w:ascii="仿宋" w:hAnsi="仿宋" w:eastAsia="仿宋" w:cs="仿宋"/>
          <w:sz w:val="30"/>
          <w:szCs w:val="30"/>
          <w:lang w:val="en-US" w:eastAsia="zh-CN"/>
        </w:rPr>
        <w:t>数据库</w:t>
      </w:r>
      <w:r>
        <w:rPr>
          <w:rFonts w:hint="eastAsia" w:ascii="仿宋" w:hAnsi="仿宋" w:eastAsia="仿宋" w:cs="仿宋"/>
          <w:sz w:val="30"/>
          <w:szCs w:val="30"/>
        </w:rPr>
        <w:t>公司。</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承办科室 ：                               使用科室：</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经办人：                                  经办人：</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科主任：                                  科主任：</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ascii="仿宋" w:hAnsi="仿宋" w:eastAsia="仿宋" w:cs="仿宋"/>
          <w:bCs/>
          <w:color w:val="000000"/>
          <w:sz w:val="28"/>
          <w:szCs w:val="28"/>
        </w:rPr>
      </w:pPr>
      <w:r>
        <w:rPr>
          <w:rFonts w:hint="eastAsia" w:ascii="仿宋" w:hAnsi="仿宋" w:eastAsia="仿宋" w:cs="仿宋"/>
          <w:sz w:val="30"/>
          <w:szCs w:val="30"/>
        </w:rPr>
        <w:t>日期：202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r>
        <w:rPr>
          <w:rFonts w:hint="eastAsia"/>
          <w:sz w:val="28"/>
          <w:szCs w:val="28"/>
        </w:rPr>
        <w:t xml:space="preserve">                   </w:t>
      </w:r>
      <w:r>
        <w:rPr>
          <w:rFonts w:hint="eastAsia" w:ascii="仿宋" w:hAnsi="仿宋" w:eastAsia="仿宋" w:cs="仿宋"/>
          <w:sz w:val="30"/>
          <w:szCs w:val="30"/>
        </w:rPr>
        <w:t>日期： 202</w:t>
      </w:r>
      <w:r>
        <w:rPr>
          <w:rFonts w:hint="eastAsia" w:ascii="仿宋" w:hAnsi="仿宋" w:eastAsia="仿宋" w:cs="仿宋"/>
          <w:sz w:val="30"/>
          <w:szCs w:val="30"/>
          <w:lang w:val="en-US" w:eastAsia="zh-CN"/>
        </w:rPr>
        <w:t>4</w:t>
      </w: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sectPr>
      <w:pgSz w:w="11906" w:h="16838"/>
      <w:pgMar w:top="1020" w:right="1134" w:bottom="10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EAFC77"/>
    <w:multiLevelType w:val="singleLevel"/>
    <w:tmpl w:val="92EAFC77"/>
    <w:lvl w:ilvl="0" w:tentative="0">
      <w:start w:val="1"/>
      <w:numFmt w:val="decimal"/>
      <w:suff w:val="nothing"/>
      <w:lvlText w:val="%1．"/>
      <w:lvlJc w:val="left"/>
      <w:pPr>
        <w:ind w:left="0" w:firstLine="400"/>
      </w:pPr>
      <w:rPr>
        <w:rFonts w:hint="default"/>
      </w:rPr>
    </w:lvl>
  </w:abstractNum>
  <w:abstractNum w:abstractNumId="1">
    <w:nsid w:val="C62DD6E1"/>
    <w:multiLevelType w:val="singleLevel"/>
    <w:tmpl w:val="C62DD6E1"/>
    <w:lvl w:ilvl="0" w:tentative="0">
      <w:start w:val="1"/>
      <w:numFmt w:val="decimal"/>
      <w:lvlText w:val="%1)"/>
      <w:lvlJc w:val="left"/>
      <w:pPr>
        <w:ind w:left="425" w:hanging="425"/>
      </w:pPr>
      <w:rPr>
        <w:rFonts w:hint="default"/>
      </w:rPr>
    </w:lvl>
  </w:abstractNum>
  <w:abstractNum w:abstractNumId="2">
    <w:nsid w:val="39D67899"/>
    <w:multiLevelType w:val="singleLevel"/>
    <w:tmpl w:val="39D67899"/>
    <w:lvl w:ilvl="0" w:tentative="0">
      <w:start w:val="1"/>
      <w:numFmt w:val="decimal"/>
      <w:suff w:val="nothing"/>
      <w:lvlText w:val="%1．"/>
      <w:lvlJc w:val="left"/>
      <w:pPr>
        <w:ind w:left="0" w:firstLine="400"/>
      </w:pPr>
      <w:rPr>
        <w:rFonts w:hint="default"/>
      </w:rPr>
    </w:lvl>
  </w:abstractNum>
  <w:abstractNum w:abstractNumId="3">
    <w:nsid w:val="4B2D4D7E"/>
    <w:multiLevelType w:val="multilevel"/>
    <w:tmpl w:val="4B2D4D7E"/>
    <w:lvl w:ilvl="0" w:tentative="0">
      <w:start w:val="4"/>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BC4E9C"/>
    <w:multiLevelType w:val="singleLevel"/>
    <w:tmpl w:val="4CBC4E9C"/>
    <w:lvl w:ilvl="0" w:tentative="0">
      <w:start w:val="1"/>
      <w:numFmt w:val="decimal"/>
      <w:suff w:val="nothing"/>
      <w:lvlText w:val="%1．"/>
      <w:lvlJc w:val="left"/>
      <w:pPr>
        <w:ind w:left="0" w:firstLine="400"/>
      </w:pPr>
      <w:rPr>
        <w:rFonts w:hint="default"/>
      </w:rPr>
    </w:lvl>
  </w:abstractNum>
  <w:abstractNum w:abstractNumId="5">
    <w:nsid w:val="657A9BF1"/>
    <w:multiLevelType w:val="singleLevel"/>
    <w:tmpl w:val="657A9BF1"/>
    <w:lvl w:ilvl="0" w:tentative="0">
      <w:start w:val="5"/>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2NmJkNTljOTJkYTFmZTI1NGJlYmMwNjE1NTMwNmYifQ=="/>
  </w:docVars>
  <w:rsids>
    <w:rsidRoot w:val="004C096E"/>
    <w:rsid w:val="00075FC5"/>
    <w:rsid w:val="001020B5"/>
    <w:rsid w:val="002D4C72"/>
    <w:rsid w:val="002F45C6"/>
    <w:rsid w:val="00303FCB"/>
    <w:rsid w:val="00351580"/>
    <w:rsid w:val="004C096E"/>
    <w:rsid w:val="00575C59"/>
    <w:rsid w:val="0060567A"/>
    <w:rsid w:val="00815398"/>
    <w:rsid w:val="0084399F"/>
    <w:rsid w:val="008F151F"/>
    <w:rsid w:val="045F1083"/>
    <w:rsid w:val="0D8C6527"/>
    <w:rsid w:val="0DC06565"/>
    <w:rsid w:val="14F27D2C"/>
    <w:rsid w:val="17E74887"/>
    <w:rsid w:val="1B696BD9"/>
    <w:rsid w:val="1B7C407F"/>
    <w:rsid w:val="1E3D7A64"/>
    <w:rsid w:val="1E614C63"/>
    <w:rsid w:val="1F3E7E85"/>
    <w:rsid w:val="39E87138"/>
    <w:rsid w:val="3C7A4FBF"/>
    <w:rsid w:val="3CCB0BD9"/>
    <w:rsid w:val="418E1DC0"/>
    <w:rsid w:val="41A32249"/>
    <w:rsid w:val="4288372C"/>
    <w:rsid w:val="486D0510"/>
    <w:rsid w:val="49D550CD"/>
    <w:rsid w:val="49F626FA"/>
    <w:rsid w:val="4E811172"/>
    <w:rsid w:val="4F8E6593"/>
    <w:rsid w:val="53654E1D"/>
    <w:rsid w:val="58965211"/>
    <w:rsid w:val="59722042"/>
    <w:rsid w:val="60A434F2"/>
    <w:rsid w:val="631D2B98"/>
    <w:rsid w:val="75F00ED4"/>
    <w:rsid w:val="EC7B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spacing w:line="312" w:lineRule="auto"/>
    </w:pPr>
    <w:rPr>
      <w:rFonts w:ascii="Times" w:hAnsi="Times" w:eastAsia="微软雅黑" w:cs="宋体"/>
      <w:sz w:val="20"/>
      <w:szCs w:val="20"/>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Balloon Text"/>
    <w:basedOn w:val="1"/>
    <w:link w:val="16"/>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annotation reference"/>
    <w:basedOn w:val="11"/>
    <w:qFormat/>
    <w:uiPriority w:val="0"/>
    <w:rPr>
      <w:sz w:val="21"/>
      <w:szCs w:val="21"/>
    </w:rPr>
  </w:style>
  <w:style w:type="paragraph" w:customStyle="1" w:styleId="13">
    <w:name w:val="正文文本首行缩进1"/>
    <w:basedOn w:val="5"/>
    <w:qFormat/>
    <w:uiPriority w:val="0"/>
    <w:pPr>
      <w:ind w:firstLine="100" w:firstLineChars="100"/>
    </w:pPr>
  </w:style>
  <w:style w:type="character" w:customStyle="1" w:styleId="14">
    <w:name w:val="页眉 字符"/>
    <w:basedOn w:val="11"/>
    <w:link w:val="8"/>
    <w:qFormat/>
    <w:uiPriority w:val="0"/>
    <w:rPr>
      <w:kern w:val="2"/>
      <w:sz w:val="18"/>
      <w:szCs w:val="18"/>
    </w:rPr>
  </w:style>
  <w:style w:type="character" w:customStyle="1" w:styleId="15">
    <w:name w:val="页脚 字符"/>
    <w:basedOn w:val="11"/>
    <w:link w:val="7"/>
    <w:qFormat/>
    <w:uiPriority w:val="0"/>
    <w:rPr>
      <w:kern w:val="2"/>
      <w:sz w:val="18"/>
      <w:szCs w:val="18"/>
    </w:rPr>
  </w:style>
  <w:style w:type="character" w:customStyle="1" w:styleId="16">
    <w:name w:val="批注框文本 字符"/>
    <w:basedOn w:val="11"/>
    <w:link w:val="6"/>
    <w:qFormat/>
    <w:uiPriority w:val="0"/>
    <w:rPr>
      <w:kern w:val="2"/>
      <w:sz w:val="18"/>
      <w:szCs w:val="18"/>
    </w:rPr>
  </w:style>
  <w:style w:type="character" w:customStyle="1" w:styleId="17">
    <w:name w:val="fontstyle01"/>
    <w:qFormat/>
    <w:uiPriority w:val="0"/>
    <w:rPr>
      <w:rFonts w:ascii="黑体" w:hAnsi="宋体" w:eastAsia="黑体" w:cs="黑体"/>
      <w:color w:val="000000"/>
      <w:sz w:val="70"/>
      <w:szCs w:val="70"/>
    </w:rPr>
  </w:style>
  <w:style w:type="paragraph" w:styleId="18">
    <w:name w:val="List Paragraph"/>
    <w:basedOn w:val="1"/>
    <w:qFormat/>
    <w:uiPriority w:val="99"/>
    <w:pPr>
      <w:ind w:firstLine="420" w:firstLineChars="200"/>
    </w:pPr>
  </w:style>
  <w:style w:type="paragraph" w:customStyle="1" w:styleId="19">
    <w:name w:val="表格文字115"/>
    <w:qFormat/>
    <w:uiPriority w:val="0"/>
    <w:pPr>
      <w:widowControl w:val="0"/>
      <w:spacing w:before="25" w:after="25"/>
      <w:jc w:val="left"/>
    </w:pPr>
    <w:rPr>
      <w:rFonts w:ascii="Times New Roman" w:hAnsi="Times New Roman" w:eastAsia="宋体" w:cs="Times New Roman"/>
      <w:bCs/>
      <w:spacing w:val="1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柳州市工人医院</Company>
  <Pages>4</Pages>
  <Words>2191</Words>
  <Characters>2308</Characters>
  <Lines>15</Lines>
  <Paragraphs>4</Paragraphs>
  <TotalTime>13</TotalTime>
  <ScaleCrop>false</ScaleCrop>
  <LinksUpToDate>false</LinksUpToDate>
  <CharactersWithSpaces>2441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2022-08-04T11:18:00Z</dcterms:created>
  <dc:creator>lgyy</dc:creator>
  <cp:lastModifiedBy> 哔哩哔哩小蘑菇</cp:lastModifiedBy>
  <cp:lastPrinted>2024-09-06T07:06:00Z</cp:lastPrinted>
  <dcterms:modified xsi:type="dcterms:W3CDTF">2024-11-04T03:40:33Z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F71D10E9F43945E98CE3978BD41B689F_13</vt:lpwstr>
  </property>
</Properties>
</file>