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432E2">
      <w:pPr>
        <w:jc w:val="center"/>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柳州市工人医院医学数据库服务采购的项目需求</w:t>
      </w:r>
    </w:p>
    <w:p w14:paraId="23C28EB4">
      <w:pPr>
        <w:adjustRightInd w:val="0"/>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一、项目名称</w:t>
      </w:r>
    </w:p>
    <w:p w14:paraId="4BE3BD3F">
      <w:pPr>
        <w:spacing w:line="500" w:lineRule="exact"/>
        <w:ind w:firstLine="480"/>
        <w:rPr>
          <w:rFonts w:ascii="仿宋" w:hAnsi="仿宋" w:eastAsia="仿宋" w:cs="仿宋"/>
          <w:bCs/>
          <w:color w:val="000000"/>
          <w:sz w:val="28"/>
          <w:szCs w:val="28"/>
        </w:rPr>
      </w:pPr>
      <w:r>
        <w:rPr>
          <w:rFonts w:hint="eastAsia" w:ascii="仿宋" w:hAnsi="仿宋" w:eastAsia="仿宋" w:cs="仿宋"/>
          <w:bCs/>
          <w:color w:val="000000"/>
          <w:sz w:val="28"/>
          <w:szCs w:val="28"/>
        </w:rPr>
        <w:t>柳州市工人医院</w:t>
      </w:r>
      <w:r>
        <w:rPr>
          <w:rFonts w:hint="eastAsia" w:ascii="仿宋" w:hAnsi="仿宋" w:eastAsia="仿宋" w:cs="仿宋"/>
          <w:bCs/>
          <w:color w:val="000000"/>
          <w:sz w:val="28"/>
          <w:szCs w:val="28"/>
          <w:lang w:val="en-US" w:eastAsia="zh-CN"/>
        </w:rPr>
        <w:t>医学数据库服务</w:t>
      </w:r>
      <w:r>
        <w:rPr>
          <w:rFonts w:hint="eastAsia" w:ascii="仿宋" w:hAnsi="仿宋" w:eastAsia="仿宋" w:cs="仿宋"/>
          <w:bCs/>
          <w:color w:val="000000"/>
          <w:sz w:val="28"/>
          <w:szCs w:val="28"/>
        </w:rPr>
        <w:t>项目</w:t>
      </w:r>
    </w:p>
    <w:p w14:paraId="46979C9D">
      <w:pPr>
        <w:adjustRightInd w:val="0"/>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二、项目概况</w:t>
      </w:r>
    </w:p>
    <w:p w14:paraId="43BEF9A6">
      <w:pPr>
        <w:spacing w:line="500" w:lineRule="exact"/>
        <w:ind w:firstLine="480"/>
        <w:rPr>
          <w:rFonts w:ascii="仿宋" w:hAnsi="仿宋" w:eastAsia="仿宋" w:cs="仿宋"/>
          <w:bCs/>
          <w:color w:val="auto"/>
          <w:sz w:val="28"/>
          <w:szCs w:val="28"/>
        </w:rPr>
      </w:pPr>
      <w:r>
        <w:rPr>
          <w:rFonts w:hint="eastAsia" w:ascii="仿宋" w:hAnsi="仿宋" w:eastAsia="仿宋" w:cs="仿宋"/>
          <w:bCs/>
          <w:color w:val="000000"/>
          <w:sz w:val="28"/>
          <w:szCs w:val="28"/>
          <w:lang w:val="en-US" w:eastAsia="zh-CN"/>
        </w:rPr>
        <w:t>医学数据库作</w:t>
      </w:r>
      <w:r>
        <w:rPr>
          <w:rFonts w:hint="eastAsia" w:ascii="仿宋" w:hAnsi="仿宋" w:eastAsia="仿宋" w:cs="仿宋"/>
          <w:bCs/>
          <w:color w:val="000000"/>
          <w:sz w:val="28"/>
          <w:szCs w:val="28"/>
        </w:rPr>
        <w:t>为科研</w:t>
      </w:r>
      <w:r>
        <w:rPr>
          <w:rFonts w:hint="eastAsia" w:ascii="仿宋" w:hAnsi="仿宋" w:eastAsia="仿宋" w:cs="仿宋"/>
          <w:bCs/>
          <w:color w:val="000000"/>
          <w:sz w:val="28"/>
          <w:szCs w:val="28"/>
          <w:lang w:val="en-US" w:eastAsia="zh-CN"/>
        </w:rPr>
        <w:t>和教学必不可少的科研工具</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是医院科研工作和教学工作必不可少的一部分</w:t>
      </w:r>
      <w:r>
        <w:rPr>
          <w:rFonts w:hint="eastAsia" w:ascii="仿宋" w:hAnsi="仿宋" w:eastAsia="仿宋" w:cs="仿宋"/>
          <w:bCs/>
          <w:color w:val="000000"/>
          <w:sz w:val="28"/>
          <w:szCs w:val="28"/>
        </w:rPr>
        <w:t>。一直以来</w:t>
      </w:r>
      <w:r>
        <w:rPr>
          <w:rFonts w:hint="eastAsia" w:ascii="仿宋" w:hAnsi="仿宋" w:eastAsia="仿宋" w:cs="仿宋"/>
          <w:bCs/>
          <w:color w:val="auto"/>
          <w:sz w:val="28"/>
          <w:szCs w:val="28"/>
        </w:rPr>
        <w:t>医院的</w:t>
      </w:r>
      <w:r>
        <w:rPr>
          <w:rFonts w:hint="eastAsia" w:ascii="仿宋" w:hAnsi="仿宋" w:eastAsia="仿宋" w:cs="仿宋"/>
          <w:bCs/>
          <w:color w:val="auto"/>
          <w:sz w:val="28"/>
          <w:szCs w:val="28"/>
          <w:lang w:val="en-US" w:eastAsia="zh-CN"/>
        </w:rPr>
        <w:t>医学数据库服务一直由第三方数据库公司提供</w:t>
      </w:r>
      <w:r>
        <w:rPr>
          <w:rFonts w:hint="eastAsia" w:ascii="仿宋" w:hAnsi="仿宋" w:eastAsia="仿宋" w:cs="仿宋"/>
          <w:bCs/>
          <w:color w:val="auto"/>
          <w:sz w:val="28"/>
          <w:szCs w:val="28"/>
        </w:rPr>
        <w:t>。因上一</w:t>
      </w:r>
      <w:r>
        <w:rPr>
          <w:rFonts w:hint="eastAsia" w:ascii="仿宋" w:hAnsi="仿宋" w:eastAsia="仿宋" w:cs="仿宋"/>
          <w:bCs/>
          <w:color w:val="auto"/>
          <w:sz w:val="28"/>
          <w:szCs w:val="28"/>
          <w:lang w:val="en-US" w:eastAsia="zh-CN"/>
        </w:rPr>
        <w:t>周期</w:t>
      </w:r>
      <w:r>
        <w:rPr>
          <w:rFonts w:hint="eastAsia" w:ascii="仿宋" w:hAnsi="仿宋" w:eastAsia="仿宋" w:cs="仿宋"/>
          <w:bCs/>
          <w:color w:val="auto"/>
          <w:sz w:val="28"/>
          <w:szCs w:val="28"/>
        </w:rPr>
        <w:t>合同</w:t>
      </w:r>
      <w:r>
        <w:rPr>
          <w:rFonts w:hint="eastAsia" w:ascii="仿宋" w:hAnsi="仿宋" w:eastAsia="仿宋" w:cs="仿宋"/>
          <w:bCs/>
          <w:color w:val="auto"/>
          <w:sz w:val="28"/>
          <w:szCs w:val="28"/>
          <w:lang w:val="en-US" w:eastAsia="zh-CN"/>
        </w:rPr>
        <w:t>即将</w:t>
      </w:r>
      <w:r>
        <w:rPr>
          <w:rFonts w:hint="eastAsia" w:ascii="仿宋" w:hAnsi="仿宋" w:eastAsia="仿宋" w:cs="仿宋"/>
          <w:bCs/>
          <w:color w:val="auto"/>
          <w:sz w:val="28"/>
          <w:szCs w:val="28"/>
        </w:rPr>
        <w:t>到期现</w:t>
      </w:r>
      <w:r>
        <w:rPr>
          <w:rFonts w:ascii="仿宋" w:hAnsi="仿宋" w:eastAsia="仿宋" w:cs="仿宋"/>
          <w:bCs/>
          <w:color w:val="auto"/>
          <w:sz w:val="28"/>
          <w:szCs w:val="28"/>
        </w:rPr>
        <w:t>需要</w:t>
      </w:r>
      <w:r>
        <w:rPr>
          <w:rFonts w:hint="eastAsia" w:ascii="仿宋" w:hAnsi="仿宋" w:eastAsia="仿宋" w:cs="仿宋"/>
          <w:bCs/>
          <w:color w:val="auto"/>
          <w:sz w:val="28"/>
          <w:szCs w:val="28"/>
        </w:rPr>
        <w:t>重新</w:t>
      </w:r>
      <w:r>
        <w:rPr>
          <w:rFonts w:ascii="仿宋" w:hAnsi="仿宋" w:eastAsia="仿宋" w:cs="仿宋"/>
          <w:bCs/>
          <w:color w:val="auto"/>
          <w:sz w:val="28"/>
          <w:szCs w:val="28"/>
        </w:rPr>
        <w:t>招标</w:t>
      </w:r>
      <w:r>
        <w:rPr>
          <w:rFonts w:hint="eastAsia" w:ascii="仿宋" w:hAnsi="仿宋" w:eastAsia="仿宋" w:cs="仿宋"/>
          <w:bCs/>
          <w:color w:val="auto"/>
          <w:sz w:val="28"/>
          <w:szCs w:val="28"/>
        </w:rPr>
        <w:t>。</w:t>
      </w:r>
    </w:p>
    <w:p w14:paraId="690CEF76">
      <w:pPr>
        <w:spacing w:line="460" w:lineRule="exact"/>
        <w:rPr>
          <w:rFonts w:ascii="仿宋" w:hAnsi="仿宋" w:eastAsia="仿宋" w:cs="仿宋"/>
          <w:b/>
          <w:bCs/>
          <w:sz w:val="30"/>
          <w:szCs w:val="30"/>
        </w:rPr>
      </w:pPr>
      <w:r>
        <w:rPr>
          <w:rFonts w:hint="eastAsia" w:ascii="仿宋" w:hAnsi="仿宋" w:eastAsia="仿宋" w:cs="仿宋"/>
          <w:b/>
          <w:bCs/>
          <w:sz w:val="30"/>
          <w:szCs w:val="30"/>
        </w:rPr>
        <w:t>三、服务商资质条件</w:t>
      </w:r>
    </w:p>
    <w:p w14:paraId="2A32E02A">
      <w:pPr>
        <w:numPr>
          <w:ilvl w:val="0"/>
          <w:numId w:val="0"/>
        </w:numPr>
        <w:spacing w:line="460" w:lineRule="exact"/>
        <w:ind w:leftChars="200"/>
        <w:rPr>
          <w:rFonts w:ascii="仿宋" w:hAnsi="仿宋" w:eastAsia="仿宋" w:cs="仿宋"/>
          <w:color w:val="000000" w:themeColor="text1"/>
          <w:sz w:val="30"/>
          <w:szCs w:val="30"/>
          <w14:textFill>
            <w14:solidFill>
              <w14:schemeClr w14:val="tx1"/>
            </w14:solidFill>
          </w14:textFill>
        </w:rPr>
      </w:pPr>
      <w:bookmarkStart w:id="0" w:name="OLE_LINK1"/>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具有独立承担民事责任的能力；在中华人民共和国境内注册并取得营业执照的独立法人，具有相应经营范围，（提供企业法人营业执照、组织机构代码证、税务登记证或三证合一的复印件）</w:t>
      </w:r>
      <w:r>
        <w:rPr>
          <w:rFonts w:hint="eastAsia" w:ascii="仿宋" w:hAnsi="仿宋" w:eastAsia="仿宋" w:cs="仿宋"/>
          <w:color w:val="000000" w:themeColor="text1"/>
          <w:sz w:val="30"/>
          <w:szCs w:val="30"/>
          <w:lang w:eastAsia="zh-CN"/>
          <w14:textFill>
            <w14:solidFill>
              <w14:schemeClr w14:val="tx1"/>
            </w14:solidFill>
          </w14:textFill>
        </w:rPr>
        <w:t>；</w:t>
      </w:r>
    </w:p>
    <w:bookmarkEnd w:id="0"/>
    <w:p w14:paraId="2B53C088">
      <w:pPr>
        <w:numPr>
          <w:ilvl w:val="0"/>
          <w:numId w:val="0"/>
        </w:numPr>
        <w:spacing w:line="460" w:lineRule="exact"/>
        <w:ind w:left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具有良好的商业信誉和健全的财务会计制度；</w:t>
      </w:r>
    </w:p>
    <w:p w14:paraId="313415E0">
      <w:pPr>
        <w:numPr>
          <w:ilvl w:val="0"/>
          <w:numId w:val="0"/>
        </w:numPr>
        <w:spacing w:line="500" w:lineRule="exact"/>
        <w:ind w:left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具有履行合同所必需的设备和专业技术能力；具备完善的硬件设备、技术支持、服务体系和良好的团队。</w:t>
      </w:r>
      <w:r>
        <w:rPr>
          <w:rFonts w:hint="eastAsia" w:ascii="仿宋" w:hAnsi="仿宋" w:eastAsia="仿宋" w:cs="仿宋"/>
          <w:bCs/>
          <w:color w:val="000000" w:themeColor="text1"/>
          <w:sz w:val="28"/>
          <w:szCs w:val="28"/>
          <w14:textFill>
            <w14:solidFill>
              <w14:schemeClr w14:val="tx1"/>
            </w14:solidFill>
          </w14:textFill>
        </w:rPr>
        <w:t>具有履行合同所必需的专业技术及服务能力，能够提供较好的技术和服务响应方案；</w:t>
      </w:r>
    </w:p>
    <w:p w14:paraId="6C5412D4">
      <w:pPr>
        <w:numPr>
          <w:ilvl w:val="0"/>
          <w:numId w:val="0"/>
        </w:numPr>
        <w:spacing w:line="460" w:lineRule="exact"/>
        <w:ind w:left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有依法缴纳税收和社会保障资金的良好记录；</w:t>
      </w:r>
    </w:p>
    <w:p w14:paraId="29085787">
      <w:pPr>
        <w:numPr>
          <w:ilvl w:val="0"/>
          <w:numId w:val="0"/>
        </w:numPr>
        <w:spacing w:line="460" w:lineRule="exact"/>
        <w:ind w:left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5.参加政府采购活动前三年内，未因违法经营受到刑事处罚或者责令停产停业、吊销许可证或者执照、较大数额罚款等行政处罚；</w:t>
      </w:r>
    </w:p>
    <w:p w14:paraId="4A39F1FC">
      <w:pPr>
        <w:pStyle w:val="6"/>
        <w:numPr>
          <w:ilvl w:val="0"/>
          <w:numId w:val="1"/>
        </w:numPr>
        <w:spacing w:line="460" w:lineRule="exact"/>
        <w:ind w:firstLineChars="0"/>
        <w:rPr>
          <w:rFonts w:ascii="仿宋" w:hAnsi="仿宋" w:eastAsia="仿宋" w:cs="仿宋"/>
          <w:b/>
          <w:bCs/>
          <w:sz w:val="30"/>
          <w:szCs w:val="30"/>
          <w:highlight w:val="none"/>
        </w:rPr>
      </w:pPr>
      <w:r>
        <w:rPr>
          <w:rFonts w:hint="eastAsia" w:ascii="仿宋" w:hAnsi="仿宋" w:eastAsia="仿宋" w:cs="仿宋"/>
          <w:b/>
          <w:bCs/>
          <w:sz w:val="30"/>
          <w:szCs w:val="30"/>
          <w:highlight w:val="none"/>
        </w:rPr>
        <w:t>服务要求</w:t>
      </w:r>
    </w:p>
    <w:p w14:paraId="785D6716">
      <w:pPr>
        <w:pStyle w:val="6"/>
        <w:numPr>
          <w:ilvl w:val="0"/>
          <w:numId w:val="2"/>
        </w:numPr>
        <w:spacing w:line="460" w:lineRule="exact"/>
        <w:ind w:left="596" w:leftChars="284" w:firstLine="0" w:firstLineChars="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中文医学期刊：收录期刊全部为有CN号和ISSN号的国家正式发行的中文生物医学类期刊，内容覆盖预防医学、卫生学、基础医学、临床医学、内科学、外科学、妇产科学、儿科学、肿瘤学、中国医学、耳鼻咽喉科学、精神病学与精神病学、皮肤病学与性病学、眼科学、口腔科学、特种医学、药学、大学学报、医药卫生总论、神经病学与精神病学等；期刊收录不少于1500种，数据总量不少于1500万篇，</w:t>
      </w:r>
      <w:r>
        <w:rPr>
          <w:rFonts w:hint="eastAsia" w:ascii="仿宋" w:hAnsi="仿宋" w:eastAsia="仿宋" w:cs="仿宋"/>
          <w:b w:val="0"/>
          <w:bCs w:val="0"/>
          <w:color w:val="auto"/>
          <w:kern w:val="2"/>
          <w:sz w:val="30"/>
          <w:szCs w:val="30"/>
          <w:highlight w:val="none"/>
          <w:lang w:val="en-US" w:eastAsia="zh-CN" w:bidi="ar-SA"/>
        </w:rPr>
        <w:t>全文数据量不少于1200万篇；</w:t>
      </w:r>
      <w:r>
        <w:rPr>
          <w:rFonts w:hint="eastAsia" w:ascii="仿宋" w:hAnsi="仿宋" w:eastAsia="仿宋" w:cs="仿宋"/>
          <w:color w:val="auto"/>
          <w:kern w:val="2"/>
          <w:sz w:val="30"/>
          <w:szCs w:val="30"/>
          <w:highlight w:val="none"/>
          <w:lang w:val="en-US" w:eastAsia="zh-CN" w:bidi="ar-SA"/>
        </w:rPr>
        <w:t>收录中华医学会期刊，并提供合作协议证明。</w:t>
      </w:r>
    </w:p>
    <w:p w14:paraId="1F96651C">
      <w:pPr>
        <w:pStyle w:val="6"/>
        <w:numPr>
          <w:ilvl w:val="0"/>
          <w:numId w:val="0"/>
        </w:numPr>
        <w:spacing w:line="460" w:lineRule="exact"/>
        <w:ind w:left="596" w:leftChars="284" w:firstLine="0" w:firstLineChars="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2.</w:t>
      </w:r>
      <w:r>
        <w:rPr>
          <w:rFonts w:hint="eastAsia" w:ascii="仿宋" w:hAnsi="仿宋" w:eastAsia="仿宋" w:cs="仿宋"/>
          <w:b w:val="0"/>
          <w:bCs w:val="0"/>
          <w:color w:val="auto"/>
          <w:sz w:val="30"/>
          <w:szCs w:val="30"/>
          <w:highlight w:val="none"/>
        </w:rPr>
        <w:t>医学学位论文：收录中文医学学位论文数据量不少于1</w:t>
      </w:r>
      <w:r>
        <w:rPr>
          <w:rFonts w:hint="eastAsia" w:ascii="仿宋" w:hAnsi="仿宋" w:eastAsia="仿宋" w:cs="仿宋"/>
          <w:b w:val="0"/>
          <w:bCs w:val="0"/>
          <w:color w:val="auto"/>
          <w:sz w:val="30"/>
          <w:szCs w:val="30"/>
          <w:highlight w:val="none"/>
          <w:lang w:val="en-US" w:eastAsia="zh-CN"/>
        </w:rPr>
        <w:t>0</w:t>
      </w:r>
      <w:r>
        <w:rPr>
          <w:rFonts w:hint="eastAsia" w:ascii="仿宋" w:hAnsi="仿宋" w:eastAsia="仿宋" w:cs="仿宋"/>
          <w:b w:val="0"/>
          <w:bCs w:val="0"/>
          <w:color w:val="auto"/>
          <w:sz w:val="30"/>
          <w:szCs w:val="30"/>
          <w:highlight w:val="none"/>
        </w:rPr>
        <w:t>0万条，全文数据量不少于</w:t>
      </w:r>
      <w:r>
        <w:rPr>
          <w:rFonts w:hint="eastAsia" w:ascii="仿宋" w:hAnsi="仿宋" w:eastAsia="仿宋" w:cs="仿宋"/>
          <w:b w:val="0"/>
          <w:bCs w:val="0"/>
          <w:color w:val="auto"/>
          <w:sz w:val="30"/>
          <w:szCs w:val="30"/>
          <w:highlight w:val="none"/>
          <w:lang w:val="en-US" w:eastAsia="zh-CN"/>
        </w:rPr>
        <w:t>90</w:t>
      </w:r>
      <w:r>
        <w:rPr>
          <w:rFonts w:hint="eastAsia" w:ascii="仿宋" w:hAnsi="仿宋" w:eastAsia="仿宋" w:cs="仿宋"/>
          <w:b w:val="0"/>
          <w:bCs w:val="0"/>
          <w:color w:val="auto"/>
          <w:sz w:val="30"/>
          <w:szCs w:val="30"/>
          <w:highlight w:val="none"/>
        </w:rPr>
        <w:t>万篇，其中博士论文全文量不少于1</w:t>
      </w:r>
      <w:r>
        <w:rPr>
          <w:rFonts w:hint="eastAsia" w:ascii="仿宋" w:hAnsi="仿宋" w:eastAsia="仿宋" w:cs="仿宋"/>
          <w:b w:val="0"/>
          <w:bCs w:val="0"/>
          <w:color w:val="auto"/>
          <w:sz w:val="30"/>
          <w:szCs w:val="30"/>
          <w:highlight w:val="none"/>
          <w:lang w:val="en-US" w:eastAsia="zh-CN"/>
        </w:rPr>
        <w:t>5</w:t>
      </w:r>
      <w:r>
        <w:rPr>
          <w:rFonts w:hint="eastAsia" w:ascii="仿宋" w:hAnsi="仿宋" w:eastAsia="仿宋" w:cs="仿宋"/>
          <w:b w:val="0"/>
          <w:bCs w:val="0"/>
          <w:color w:val="auto"/>
          <w:sz w:val="30"/>
          <w:szCs w:val="30"/>
          <w:highlight w:val="none"/>
        </w:rPr>
        <w:t>万篇；学科覆盖基础医学、临床医学、 口腔医学、公共卫生与预防医学、中医学、中西医结合、药学、中药学等学科。</w:t>
      </w:r>
    </w:p>
    <w:p w14:paraId="18892CAF">
      <w:pPr>
        <w:pStyle w:val="6"/>
        <w:numPr>
          <w:ilvl w:val="0"/>
          <w:numId w:val="0"/>
        </w:numPr>
        <w:spacing w:line="460" w:lineRule="exact"/>
        <w:ind w:left="596" w:leftChars="284" w:firstLine="0" w:firstLineChars="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3</w:t>
      </w:r>
      <w:r>
        <w:rPr>
          <w:rFonts w:hint="eastAsia" w:ascii="仿宋" w:hAnsi="仿宋" w:eastAsia="仿宋" w:cs="仿宋"/>
          <w:b w:val="0"/>
          <w:bCs w:val="0"/>
          <w:color w:val="auto"/>
          <w:sz w:val="30"/>
          <w:szCs w:val="30"/>
          <w:highlight w:val="none"/>
        </w:rPr>
        <w:t>.检索结果可在同一界面实现刊名、作者、作者单位、收录源分类排序。</w:t>
      </w:r>
    </w:p>
    <w:p w14:paraId="4FE8FD56">
      <w:pPr>
        <w:pStyle w:val="6"/>
        <w:numPr>
          <w:ilvl w:val="0"/>
          <w:numId w:val="0"/>
        </w:numPr>
        <w:spacing w:line="460" w:lineRule="exact"/>
        <w:ind w:left="596" w:leftChars="284" w:firstLine="0" w:firstLineChars="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4</w:t>
      </w:r>
      <w:r>
        <w:rPr>
          <w:rFonts w:hint="eastAsia" w:ascii="仿宋" w:hAnsi="仿宋" w:eastAsia="仿宋" w:cs="仿宋"/>
          <w:b w:val="0"/>
          <w:bCs w:val="0"/>
          <w:color w:val="auto"/>
          <w:sz w:val="30"/>
          <w:szCs w:val="30"/>
          <w:highlight w:val="none"/>
        </w:rPr>
        <w:t>.外文数据库必须包含外文文献资源和循证医学信息检索服务两大模块。</w:t>
      </w:r>
    </w:p>
    <w:p w14:paraId="2F16472E">
      <w:pPr>
        <w:pStyle w:val="6"/>
        <w:numPr>
          <w:ilvl w:val="0"/>
          <w:numId w:val="0"/>
        </w:numPr>
        <w:spacing w:line="460" w:lineRule="exact"/>
        <w:ind w:left="596" w:leftChars="284" w:firstLine="0"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检索平台需至少整合100000种以上的外文生物医学等方面的核心期刊和重要期刊文摘信息，提供智能检索、文献评价、文献过滤、知识发现、统计分析、全文获取等多项一体化功能。收录的每一种SCIE期刊需列出最新的影响因子值和最近几年的影响因子值的变化。收录范围应包含至少90%的国际临床核心期刊。在检索功能方面，需有基本检索（中文、英文双语检索、截词检索、词组检索）、主题词检索（支持主题词检索、主题词自动转化、主题词自动扩充的功能）、ICD-10疾病导航检索、检索史检索、策略检索、期刊导航检索等，各检索功能支持中英文双语检索功能和标题摘要翻译功能。需设置文献类型过滤器和文献统计分析功能，帮助临床医生了解本行业动态。收录的期刊信息需有中文简介和全文通道揭示等信息。支持AI生成检索式，根据读者输入的问题描述，智能提取关键词，并根据关键词扩展同义词。然后，根据布尔逻辑，生成中文和英文的检索式。</w:t>
      </w:r>
    </w:p>
    <w:p w14:paraId="3A1E3AE7">
      <w:pPr>
        <w:pStyle w:val="6"/>
        <w:numPr>
          <w:ilvl w:val="0"/>
          <w:numId w:val="0"/>
        </w:numPr>
        <w:spacing w:line="460" w:lineRule="exact"/>
        <w:ind w:left="596" w:leftChars="284" w:firstLine="0"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sz w:val="30"/>
          <w:szCs w:val="30"/>
          <w:highlight w:val="none"/>
        </w:rPr>
        <w:t>循证医学检索平台服务要求需收录国际上公认的权威循证医学检索平台资源约80%以上，涵盖循证资源6S模型中每个层级的证据资源。</w:t>
      </w:r>
    </w:p>
    <w:p w14:paraId="3453B35D">
      <w:pPr>
        <w:pStyle w:val="6"/>
        <w:numPr>
          <w:ilvl w:val="0"/>
          <w:numId w:val="0"/>
        </w:numPr>
        <w:spacing w:line="460" w:lineRule="exact"/>
        <w:ind w:left="596" w:leftChars="284" w:firstLine="0"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检索功能方面需有PICO检索、主题词检索、文本词检索等专业检索，有疾病导航类检索和诊疗寻证检索功能，可以帮助临床医生确诊各种罕见病，获取关于疾病诊断的金标准文献，查找治疗疾病最佳的干预方法，辅助临床医生在治疗疾病时制定治疗方案等。有科研发现功能，并且提供证据文献来证明其科学价值和应用价值。</w:t>
      </w:r>
    </w:p>
    <w:p w14:paraId="0CE6C365">
      <w:pPr>
        <w:pStyle w:val="6"/>
        <w:numPr>
          <w:ilvl w:val="0"/>
          <w:numId w:val="0"/>
        </w:numPr>
        <w:spacing w:line="460" w:lineRule="exact"/>
        <w:ind w:left="596" w:leftChars="284" w:firstLine="0"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5</w:t>
      </w:r>
      <w:r>
        <w:rPr>
          <w:rFonts w:hint="eastAsia" w:ascii="仿宋" w:hAnsi="仿宋" w:eastAsia="仿宋" w:cs="仿宋"/>
          <w:b w:val="0"/>
          <w:bCs w:val="0"/>
          <w:sz w:val="30"/>
          <w:szCs w:val="30"/>
          <w:highlight w:val="none"/>
        </w:rPr>
        <w:t>.其他服务要求</w:t>
      </w:r>
    </w:p>
    <w:p w14:paraId="04F20CD3">
      <w:pPr>
        <w:pStyle w:val="6"/>
        <w:numPr>
          <w:ilvl w:val="0"/>
          <w:numId w:val="0"/>
        </w:numPr>
        <w:spacing w:line="460" w:lineRule="exact"/>
        <w:ind w:left="596" w:leftChars="284" w:firstLine="0"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（1）需提供PDF全文翻译功能，辅助读者阅读英文全文。</w:t>
      </w:r>
    </w:p>
    <w:p w14:paraId="42D2F5A0">
      <w:pPr>
        <w:pStyle w:val="6"/>
        <w:numPr>
          <w:ilvl w:val="0"/>
          <w:numId w:val="0"/>
        </w:numPr>
        <w:spacing w:line="460" w:lineRule="exact"/>
        <w:ind w:left="596" w:leftChars="284" w:firstLine="0"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（2）售后用户培训方面：需供应商产品经理配合医院相关部门一起对读者进行检索平台使用方面的培训。</w:t>
      </w:r>
    </w:p>
    <w:p w14:paraId="65820D9F">
      <w:pPr>
        <w:pStyle w:val="6"/>
        <w:numPr>
          <w:ilvl w:val="0"/>
          <w:numId w:val="0"/>
        </w:numPr>
        <w:spacing w:line="460" w:lineRule="exact"/>
        <w:ind w:left="596" w:leftChars="284" w:firstLine="0"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（3）检索平台安装、更新、升级方面：供应商技术人员协助进行检索平台安装、技术维护、操作培训，技术人员每月上门更新维护数据；互联网数据至少可以保证更新的数据是到当前时间的前一周数据。</w:t>
      </w:r>
    </w:p>
    <w:p w14:paraId="052A3765">
      <w:pPr>
        <w:pStyle w:val="6"/>
        <w:numPr>
          <w:ilvl w:val="0"/>
          <w:numId w:val="0"/>
        </w:numPr>
        <w:spacing w:line="460" w:lineRule="exact"/>
        <w:ind w:left="596" w:leftChars="284" w:firstLine="0"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（4）在广西有售后服务机构或办事处，可以全天24小时联系到相关工作人员，为订购后的产品维护和服务提供保障。</w:t>
      </w:r>
    </w:p>
    <w:p w14:paraId="774BDA7D">
      <w:pPr>
        <w:pStyle w:val="6"/>
        <w:numPr>
          <w:ilvl w:val="0"/>
          <w:numId w:val="0"/>
        </w:numPr>
        <w:spacing w:line="460" w:lineRule="exact"/>
        <w:ind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6</w:t>
      </w:r>
      <w:r>
        <w:rPr>
          <w:rFonts w:hint="eastAsia" w:ascii="仿宋" w:hAnsi="仿宋" w:eastAsia="仿宋" w:cs="仿宋"/>
          <w:b w:val="0"/>
          <w:bCs w:val="0"/>
          <w:sz w:val="30"/>
          <w:szCs w:val="30"/>
          <w:highlight w:val="none"/>
        </w:rPr>
        <w:t>.不限制并发用户数量，不限制IP地址、不限量。</w:t>
      </w:r>
    </w:p>
    <w:p w14:paraId="53B975B5">
      <w:pPr>
        <w:numPr>
          <w:ilvl w:val="0"/>
          <w:numId w:val="0"/>
        </w:numPr>
        <w:spacing w:line="460" w:lineRule="exact"/>
        <w:ind w:left="596" w:leftChars="284" w:firstLine="0" w:firstLineChars="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7.中标人对本次招标内容所列产品提供叁年运维质保期服务，运维服务从双方签署最终验收报告之日算起。</w:t>
      </w:r>
    </w:p>
    <w:p w14:paraId="509FCEAA">
      <w:pPr>
        <w:numPr>
          <w:ilvl w:val="0"/>
          <w:numId w:val="0"/>
        </w:numPr>
        <w:spacing w:line="460" w:lineRule="exact"/>
        <w:ind w:left="596" w:leftChars="284" w:firstLine="0" w:firstLineChars="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8.中标人必须保证系统运行的日常监控，及时发现和排除故障，保证一线技术支持人员7×24小时的售后服务，免费上门保修服务，半小时内响应，48小时内到达现场，24小时内解决故障。</w:t>
      </w:r>
    </w:p>
    <w:p w14:paraId="44F4B3B8">
      <w:pPr>
        <w:numPr>
          <w:ilvl w:val="0"/>
          <w:numId w:val="0"/>
        </w:numPr>
        <w:spacing w:line="460" w:lineRule="exact"/>
        <w:ind w:left="596" w:leftChars="284" w:firstLine="0" w:firstLineChars="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9.在质保期内，中标人必须及时响应用户故障，当故障发生后24小时内解决故障，需现场解决的48小时内赶到用户现场并及时调查故障原因并修复，直至满足最终验收指标和性能的要求。</w:t>
      </w:r>
    </w:p>
    <w:p w14:paraId="4239746F">
      <w:pPr>
        <w:numPr>
          <w:ilvl w:val="0"/>
          <w:numId w:val="0"/>
        </w:numPr>
        <w:spacing w:line="460" w:lineRule="exact"/>
        <w:ind w:left="596" w:leftChars="284" w:firstLine="0" w:firstLineChars="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10.定期维护及优化系统，通过定期的技术检查，可及时排除故障隐患，以免问题发生后影响业务运作，还能及时调优系统性能，使系统始终处于高效率运行状态。</w:t>
      </w:r>
    </w:p>
    <w:p w14:paraId="12D7FF20">
      <w:pPr>
        <w:numPr>
          <w:ilvl w:val="0"/>
          <w:numId w:val="3"/>
        </w:numPr>
        <w:spacing w:line="460" w:lineRule="exact"/>
        <w:rPr>
          <w:rFonts w:ascii="仿宋" w:hAnsi="仿宋" w:eastAsia="仿宋" w:cs="仿宋"/>
          <w:b/>
          <w:bCs/>
          <w:sz w:val="30"/>
          <w:szCs w:val="30"/>
        </w:rPr>
      </w:pPr>
      <w:r>
        <w:rPr>
          <w:rFonts w:hint="eastAsia" w:ascii="仿宋" w:hAnsi="仿宋" w:eastAsia="仿宋" w:cs="仿宋"/>
          <w:b/>
          <w:bCs/>
          <w:sz w:val="30"/>
          <w:szCs w:val="30"/>
        </w:rPr>
        <w:t>合同期及结算方式</w:t>
      </w:r>
    </w:p>
    <w:p w14:paraId="7FFDD3D8">
      <w:pPr>
        <w:numPr>
          <w:ilvl w:val="0"/>
          <w:numId w:val="4"/>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合同期限为：服务期</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w:t>
      </w:r>
    </w:p>
    <w:p w14:paraId="2D709789">
      <w:pPr>
        <w:numPr>
          <w:ilvl w:val="0"/>
          <w:numId w:val="4"/>
        </w:numPr>
        <w:spacing w:line="460" w:lineRule="exact"/>
        <w:ind w:firstLine="600" w:firstLineChars="200"/>
        <w:rPr>
          <w:rFonts w:ascii="仿宋" w:hAnsi="仿宋" w:eastAsia="仿宋" w:cs="仿宋"/>
          <w:b/>
          <w:bCs/>
          <w:color w:val="auto"/>
          <w:sz w:val="30"/>
          <w:szCs w:val="30"/>
        </w:rPr>
      </w:pPr>
      <w:r>
        <w:rPr>
          <w:rFonts w:hint="eastAsia" w:ascii="仿宋" w:hAnsi="仿宋" w:eastAsia="仿宋" w:cs="仿宋"/>
          <w:color w:val="auto"/>
          <w:sz w:val="30"/>
          <w:szCs w:val="30"/>
        </w:rPr>
        <w:t>结算方式：按合同约定</w:t>
      </w:r>
      <w:r>
        <w:rPr>
          <w:rFonts w:hint="eastAsia" w:ascii="仿宋" w:hAnsi="仿宋" w:eastAsia="仿宋" w:cs="仿宋"/>
          <w:color w:val="auto"/>
          <w:sz w:val="30"/>
          <w:szCs w:val="30"/>
          <w:lang w:val="en-US" w:eastAsia="zh-CN"/>
        </w:rPr>
        <w:t>每年预付款一次</w:t>
      </w:r>
      <w:r>
        <w:rPr>
          <w:rFonts w:hint="eastAsia" w:ascii="仿宋" w:hAnsi="仿宋" w:eastAsia="仿宋" w:cs="仿宋"/>
          <w:color w:val="auto"/>
          <w:sz w:val="30"/>
          <w:szCs w:val="30"/>
        </w:rPr>
        <w:t>，由甲方根据</w:t>
      </w:r>
      <w:r>
        <w:rPr>
          <w:rFonts w:hint="eastAsia" w:ascii="仿宋" w:hAnsi="仿宋" w:eastAsia="仿宋" w:cs="仿宋"/>
          <w:color w:val="auto"/>
          <w:sz w:val="30"/>
          <w:szCs w:val="30"/>
          <w:lang w:val="en-US" w:eastAsia="zh-CN"/>
        </w:rPr>
        <w:t>合同内容</w:t>
      </w:r>
      <w:r>
        <w:rPr>
          <w:rFonts w:hint="eastAsia" w:ascii="仿宋" w:hAnsi="仿宋" w:eastAsia="仿宋" w:cs="仿宋"/>
          <w:color w:val="auto"/>
          <w:sz w:val="30"/>
          <w:szCs w:val="30"/>
        </w:rPr>
        <w:t>支付服务商。</w:t>
      </w:r>
    </w:p>
    <w:p w14:paraId="4040962A">
      <w:pPr>
        <w:numPr>
          <w:ilvl w:val="0"/>
          <w:numId w:val="3"/>
        </w:numPr>
        <w:spacing w:line="460" w:lineRule="exact"/>
        <w:rPr>
          <w:rFonts w:ascii="仿宋" w:hAnsi="仿宋" w:eastAsia="仿宋" w:cs="仿宋"/>
          <w:b/>
          <w:bCs/>
          <w:sz w:val="30"/>
          <w:szCs w:val="30"/>
        </w:rPr>
      </w:pPr>
      <w:r>
        <w:rPr>
          <w:rFonts w:hint="eastAsia" w:ascii="仿宋" w:hAnsi="仿宋" w:eastAsia="仿宋" w:cs="仿宋"/>
          <w:b/>
          <w:bCs/>
          <w:sz w:val="30"/>
          <w:szCs w:val="30"/>
        </w:rPr>
        <w:t>服务报价方式</w:t>
      </w:r>
    </w:p>
    <w:tbl>
      <w:tblPr>
        <w:tblStyle w:val="4"/>
        <w:tblW w:w="10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154"/>
        <w:gridCol w:w="1858"/>
        <w:gridCol w:w="2388"/>
        <w:gridCol w:w="924"/>
      </w:tblGrid>
      <w:tr w14:paraId="040E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7774B0F8">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4154" w:type="dxa"/>
          </w:tcPr>
          <w:p w14:paraId="640109F2">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服务内容</w:t>
            </w:r>
          </w:p>
        </w:tc>
        <w:tc>
          <w:tcPr>
            <w:tcW w:w="1858" w:type="dxa"/>
          </w:tcPr>
          <w:p w14:paraId="6D962EDA">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单价（元</w:t>
            </w:r>
            <w:r>
              <w:rPr>
                <w:rFonts w:hint="eastAsia" w:ascii="仿宋" w:hAnsi="仿宋" w:eastAsia="仿宋" w:cs="仿宋"/>
                <w:b/>
                <w:bCs/>
                <w:sz w:val="24"/>
                <w:szCs w:val="24"/>
                <w:lang w:val="en-US" w:eastAsia="zh-CN"/>
              </w:rPr>
              <w:t>/年</w:t>
            </w:r>
            <w:r>
              <w:rPr>
                <w:rFonts w:hint="eastAsia" w:ascii="仿宋" w:hAnsi="仿宋" w:eastAsia="仿宋" w:cs="仿宋"/>
                <w:b/>
                <w:bCs/>
                <w:sz w:val="24"/>
                <w:szCs w:val="24"/>
              </w:rPr>
              <w:t>）</w:t>
            </w:r>
          </w:p>
        </w:tc>
        <w:tc>
          <w:tcPr>
            <w:tcW w:w="2388" w:type="dxa"/>
          </w:tcPr>
          <w:p w14:paraId="736A6F4E">
            <w:pPr>
              <w:spacing w:line="460" w:lineRule="exact"/>
              <w:jc w:val="center"/>
              <w:rPr>
                <w:rFonts w:ascii="仿宋" w:hAnsi="仿宋" w:eastAsia="仿宋" w:cs="仿宋"/>
                <w:b/>
                <w:bCs/>
                <w:sz w:val="24"/>
                <w:szCs w:val="24"/>
              </w:rPr>
            </w:pPr>
            <w:r>
              <w:rPr>
                <w:rFonts w:hint="eastAsia" w:ascii="仿宋" w:hAnsi="仿宋" w:eastAsia="仿宋" w:cs="仿宋"/>
                <w:b/>
                <w:bCs/>
                <w:sz w:val="24"/>
                <w:szCs w:val="24"/>
                <w:lang w:val="en-US" w:eastAsia="zh-CN"/>
              </w:rPr>
              <w:t>三年合计</w:t>
            </w:r>
            <w:r>
              <w:rPr>
                <w:rFonts w:hint="eastAsia" w:ascii="仿宋" w:hAnsi="仿宋" w:eastAsia="仿宋" w:cs="仿宋"/>
                <w:b/>
                <w:bCs/>
                <w:sz w:val="24"/>
                <w:szCs w:val="24"/>
              </w:rPr>
              <w:t>（元）</w:t>
            </w:r>
          </w:p>
        </w:tc>
        <w:tc>
          <w:tcPr>
            <w:tcW w:w="924" w:type="dxa"/>
          </w:tcPr>
          <w:p w14:paraId="6C200B33">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备注</w:t>
            </w:r>
          </w:p>
        </w:tc>
      </w:tr>
      <w:tr w14:paraId="53E2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1" w:type="dxa"/>
          </w:tcPr>
          <w:p w14:paraId="3377572C">
            <w:pPr>
              <w:spacing w:line="46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4154" w:type="dxa"/>
            <w:vAlign w:val="top"/>
          </w:tcPr>
          <w:p w14:paraId="1AF7275A">
            <w:pPr>
              <w:spacing w:line="460" w:lineRule="exact"/>
              <w:rPr>
                <w:rFonts w:hint="default" w:ascii="仿宋" w:hAnsi="仿宋" w:eastAsia="仿宋" w:cs="仿宋"/>
                <w:b/>
                <w:bCs/>
                <w:sz w:val="24"/>
                <w:szCs w:val="24"/>
                <w:lang w:val="en-US" w:eastAsia="zh-CN"/>
              </w:rPr>
            </w:pPr>
            <w:r>
              <w:rPr>
                <w:rFonts w:hint="eastAsia" w:ascii="仿宋" w:hAnsi="仿宋" w:eastAsia="仿宋" w:cs="仿宋"/>
                <w:bCs/>
                <w:color w:val="auto"/>
                <w:sz w:val="24"/>
                <w:szCs w:val="24"/>
                <w:lang w:val="en-US" w:eastAsia="zh-CN"/>
              </w:rPr>
              <w:t>中国医院知识总库期刊全文数据库</w:t>
            </w:r>
          </w:p>
        </w:tc>
        <w:tc>
          <w:tcPr>
            <w:tcW w:w="1858" w:type="dxa"/>
            <w:vAlign w:val="top"/>
          </w:tcPr>
          <w:p w14:paraId="434C4D76">
            <w:pPr>
              <w:spacing w:line="460" w:lineRule="exact"/>
              <w:rPr>
                <w:rFonts w:hint="default" w:ascii="仿宋" w:hAnsi="仿宋" w:eastAsia="仿宋" w:cs="仿宋"/>
                <w:b w:val="0"/>
                <w:bCs/>
                <w:sz w:val="21"/>
                <w:szCs w:val="21"/>
                <w:lang w:val="en-US" w:eastAsia="zh-CN"/>
              </w:rPr>
            </w:pPr>
          </w:p>
        </w:tc>
        <w:tc>
          <w:tcPr>
            <w:tcW w:w="2388" w:type="dxa"/>
            <w:vAlign w:val="top"/>
          </w:tcPr>
          <w:p w14:paraId="6B079EE9">
            <w:pPr>
              <w:spacing w:line="460" w:lineRule="exact"/>
              <w:jc w:val="center"/>
              <w:rPr>
                <w:rFonts w:hint="default" w:ascii="仿宋" w:hAnsi="仿宋" w:eastAsia="仿宋" w:cs="仿宋"/>
                <w:b w:val="0"/>
                <w:bCs/>
                <w:sz w:val="21"/>
                <w:szCs w:val="21"/>
                <w:lang w:val="en-US" w:eastAsia="zh-CN"/>
              </w:rPr>
            </w:pPr>
          </w:p>
        </w:tc>
        <w:tc>
          <w:tcPr>
            <w:tcW w:w="924" w:type="dxa"/>
          </w:tcPr>
          <w:p w14:paraId="2B4BFA6E">
            <w:pPr>
              <w:spacing w:line="460" w:lineRule="exact"/>
              <w:jc w:val="center"/>
              <w:rPr>
                <w:rFonts w:hint="default" w:ascii="仿宋" w:hAnsi="仿宋" w:eastAsia="仿宋" w:cs="仿宋"/>
                <w:b/>
                <w:bCs/>
                <w:sz w:val="24"/>
                <w:szCs w:val="24"/>
                <w:lang w:val="en-US" w:eastAsia="zh-CN"/>
              </w:rPr>
            </w:pPr>
          </w:p>
        </w:tc>
      </w:tr>
      <w:tr w14:paraId="31CF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2AF74C7">
            <w:pPr>
              <w:spacing w:line="46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4154" w:type="dxa"/>
            <w:vAlign w:val="top"/>
          </w:tcPr>
          <w:p w14:paraId="108B7963">
            <w:pPr>
              <w:spacing w:line="460" w:lineRule="exact"/>
              <w:rPr>
                <w:rFonts w:hint="default" w:ascii="仿宋" w:hAnsi="仿宋" w:eastAsia="仿宋" w:cs="仿宋"/>
                <w:b/>
                <w:bCs/>
                <w:sz w:val="24"/>
                <w:szCs w:val="24"/>
                <w:lang w:val="en-US" w:eastAsia="zh-CN"/>
              </w:rPr>
            </w:pPr>
            <w:r>
              <w:rPr>
                <w:rFonts w:hint="eastAsia" w:ascii="仿宋" w:hAnsi="仿宋" w:eastAsia="仿宋" w:cs="仿宋"/>
                <w:bCs/>
                <w:color w:val="auto"/>
                <w:sz w:val="24"/>
                <w:szCs w:val="24"/>
                <w:lang w:val="en-US" w:eastAsia="zh-CN"/>
              </w:rPr>
              <w:t>中国医院知识总库博硕士论文数据库</w:t>
            </w:r>
          </w:p>
        </w:tc>
        <w:tc>
          <w:tcPr>
            <w:tcW w:w="1858" w:type="dxa"/>
            <w:vAlign w:val="top"/>
          </w:tcPr>
          <w:p w14:paraId="70C91948">
            <w:pPr>
              <w:spacing w:line="460" w:lineRule="exact"/>
              <w:rPr>
                <w:rFonts w:hint="eastAsia" w:ascii="仿宋" w:hAnsi="仿宋" w:eastAsia="仿宋" w:cs="仿宋"/>
                <w:b w:val="0"/>
                <w:bCs/>
                <w:sz w:val="21"/>
                <w:szCs w:val="21"/>
                <w:lang w:val="en-US" w:eastAsia="zh-CN"/>
              </w:rPr>
            </w:pPr>
          </w:p>
        </w:tc>
        <w:tc>
          <w:tcPr>
            <w:tcW w:w="2388" w:type="dxa"/>
            <w:vAlign w:val="top"/>
          </w:tcPr>
          <w:p w14:paraId="346DBD22">
            <w:pPr>
              <w:spacing w:line="460" w:lineRule="exact"/>
              <w:jc w:val="center"/>
              <w:rPr>
                <w:rFonts w:hint="default" w:ascii="仿宋" w:hAnsi="仿宋" w:eastAsia="仿宋" w:cs="仿宋"/>
                <w:b w:val="0"/>
                <w:bCs/>
                <w:sz w:val="21"/>
                <w:szCs w:val="21"/>
                <w:lang w:val="en-US" w:eastAsia="zh-CN"/>
              </w:rPr>
            </w:pPr>
          </w:p>
        </w:tc>
        <w:tc>
          <w:tcPr>
            <w:tcW w:w="924" w:type="dxa"/>
          </w:tcPr>
          <w:p w14:paraId="5D46B83A">
            <w:pPr>
              <w:spacing w:line="460" w:lineRule="exact"/>
              <w:jc w:val="center"/>
              <w:rPr>
                <w:rFonts w:hint="default" w:ascii="仿宋" w:hAnsi="仿宋" w:eastAsia="仿宋" w:cs="仿宋"/>
                <w:b/>
                <w:bCs/>
                <w:sz w:val="24"/>
                <w:szCs w:val="24"/>
                <w:lang w:val="en-US" w:eastAsia="zh-CN"/>
              </w:rPr>
            </w:pPr>
          </w:p>
        </w:tc>
      </w:tr>
      <w:tr w14:paraId="09B8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vAlign w:val="top"/>
          </w:tcPr>
          <w:p w14:paraId="3F4E9A7F">
            <w:pPr>
              <w:spacing w:line="46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3</w:t>
            </w:r>
          </w:p>
        </w:tc>
        <w:tc>
          <w:tcPr>
            <w:tcW w:w="4154" w:type="dxa"/>
            <w:shd w:val="clear" w:color="auto" w:fill="auto"/>
            <w:vAlign w:val="top"/>
          </w:tcPr>
          <w:p w14:paraId="1F2C5752">
            <w:pPr>
              <w:spacing w:line="460" w:lineRule="exact"/>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中华医学会期刊</w:t>
            </w:r>
          </w:p>
        </w:tc>
        <w:tc>
          <w:tcPr>
            <w:tcW w:w="1858" w:type="dxa"/>
            <w:shd w:val="clear" w:color="auto" w:fill="auto"/>
            <w:vAlign w:val="top"/>
          </w:tcPr>
          <w:p w14:paraId="23EF56D3">
            <w:pPr>
              <w:spacing w:line="460" w:lineRule="exact"/>
              <w:rPr>
                <w:rFonts w:hint="default" w:ascii="仿宋" w:hAnsi="仿宋" w:eastAsia="仿宋" w:cs="仿宋"/>
                <w:b w:val="0"/>
                <w:bCs/>
                <w:color w:val="auto"/>
                <w:kern w:val="2"/>
                <w:sz w:val="21"/>
                <w:szCs w:val="21"/>
                <w:lang w:val="en-US" w:eastAsia="zh-CN" w:bidi="ar-SA"/>
              </w:rPr>
            </w:pPr>
          </w:p>
        </w:tc>
        <w:tc>
          <w:tcPr>
            <w:tcW w:w="2388" w:type="dxa"/>
            <w:shd w:val="clear" w:color="auto" w:fill="auto"/>
            <w:vAlign w:val="top"/>
          </w:tcPr>
          <w:p w14:paraId="6D997907">
            <w:pPr>
              <w:spacing w:line="460" w:lineRule="exact"/>
              <w:jc w:val="center"/>
              <w:rPr>
                <w:rFonts w:hint="eastAsia" w:ascii="仿宋" w:hAnsi="仿宋" w:eastAsia="仿宋" w:cs="仿宋"/>
                <w:b w:val="0"/>
                <w:bCs/>
                <w:color w:val="auto"/>
                <w:kern w:val="2"/>
                <w:sz w:val="21"/>
                <w:szCs w:val="21"/>
                <w:lang w:val="en-US" w:eastAsia="zh-CN" w:bidi="ar-SA"/>
              </w:rPr>
            </w:pPr>
          </w:p>
        </w:tc>
        <w:tc>
          <w:tcPr>
            <w:tcW w:w="924" w:type="dxa"/>
          </w:tcPr>
          <w:p w14:paraId="31D12996">
            <w:pPr>
              <w:spacing w:line="460" w:lineRule="exact"/>
              <w:rPr>
                <w:rFonts w:hint="default" w:ascii="仿宋" w:hAnsi="仿宋" w:eastAsia="仿宋" w:cs="仿宋"/>
                <w:b/>
                <w:bCs/>
                <w:sz w:val="30"/>
                <w:szCs w:val="30"/>
                <w:lang w:val="en-US" w:eastAsia="zh-CN"/>
              </w:rPr>
            </w:pPr>
          </w:p>
        </w:tc>
      </w:tr>
      <w:tr w14:paraId="5E97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7E0C757F">
            <w:pPr>
              <w:spacing w:line="46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4154" w:type="dxa"/>
            <w:vAlign w:val="top"/>
          </w:tcPr>
          <w:p w14:paraId="0BFBCE43">
            <w:pPr>
              <w:spacing w:line="460" w:lineRule="exact"/>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外文医学信息资源检索数据库</w:t>
            </w:r>
          </w:p>
        </w:tc>
        <w:tc>
          <w:tcPr>
            <w:tcW w:w="1858" w:type="dxa"/>
            <w:vAlign w:val="top"/>
          </w:tcPr>
          <w:p w14:paraId="0F080F66">
            <w:pPr>
              <w:spacing w:line="460" w:lineRule="exact"/>
              <w:rPr>
                <w:rFonts w:hint="default" w:ascii="仿宋" w:hAnsi="仿宋" w:eastAsia="仿宋" w:cs="仿宋"/>
                <w:b w:val="0"/>
                <w:bCs/>
                <w:color w:val="auto"/>
                <w:sz w:val="21"/>
                <w:szCs w:val="21"/>
                <w:lang w:val="en-US" w:eastAsia="zh-CN"/>
              </w:rPr>
            </w:pPr>
          </w:p>
        </w:tc>
        <w:tc>
          <w:tcPr>
            <w:tcW w:w="2388" w:type="dxa"/>
            <w:vAlign w:val="top"/>
          </w:tcPr>
          <w:p w14:paraId="6639BD96">
            <w:pPr>
              <w:spacing w:line="460" w:lineRule="exact"/>
              <w:jc w:val="center"/>
              <w:rPr>
                <w:rFonts w:hint="default" w:ascii="仿宋" w:hAnsi="仿宋" w:eastAsia="仿宋" w:cs="仿宋"/>
                <w:b w:val="0"/>
                <w:bCs/>
                <w:color w:val="auto"/>
                <w:sz w:val="21"/>
                <w:szCs w:val="21"/>
                <w:lang w:val="en-US" w:eastAsia="zh-CN"/>
              </w:rPr>
            </w:pPr>
          </w:p>
        </w:tc>
        <w:tc>
          <w:tcPr>
            <w:tcW w:w="924" w:type="dxa"/>
            <w:vAlign w:val="top"/>
          </w:tcPr>
          <w:p w14:paraId="3E4CFB18">
            <w:pPr>
              <w:spacing w:line="460" w:lineRule="exact"/>
              <w:rPr>
                <w:rFonts w:hint="default" w:ascii="仿宋" w:hAnsi="仿宋" w:eastAsia="仿宋" w:cs="仿宋"/>
                <w:bCs/>
                <w:color w:val="auto"/>
                <w:sz w:val="28"/>
                <w:szCs w:val="28"/>
                <w:lang w:val="en-US" w:eastAsia="zh-CN"/>
              </w:rPr>
            </w:pPr>
          </w:p>
        </w:tc>
      </w:tr>
      <w:tr w14:paraId="1E83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5" w:type="dxa"/>
            <w:gridSpan w:val="5"/>
          </w:tcPr>
          <w:p w14:paraId="66581488">
            <w:pPr>
              <w:spacing w:line="46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rPr>
              <w:t>合计金额（元）：</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lang w:val="en-US" w:eastAsia="zh-CN"/>
              </w:rPr>
              <w:t>元/年；</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lang w:val="en-US" w:eastAsia="zh-CN"/>
              </w:rPr>
              <w:t>元/三年</w:t>
            </w:r>
          </w:p>
        </w:tc>
      </w:tr>
      <w:tr w14:paraId="53D7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5" w:type="dxa"/>
            <w:gridSpan w:val="5"/>
          </w:tcPr>
          <w:p w14:paraId="720E141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1.以上报价服务商可对其中所能服务的单项进行报价，不要求全部报价；</w:t>
            </w:r>
          </w:p>
          <w:p w14:paraId="2F69C7A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sz w:val="30"/>
                <w:szCs w:val="30"/>
                <w:lang w:val="en-US" w:eastAsia="zh-CN"/>
              </w:rPr>
            </w:pPr>
            <w:r>
              <w:rPr>
                <w:rFonts w:hint="eastAsia" w:ascii="仿宋" w:hAnsi="仿宋" w:eastAsia="仿宋" w:cs="仿宋"/>
                <w:color w:val="auto"/>
                <w:sz w:val="30"/>
                <w:szCs w:val="30"/>
                <w:lang w:val="en-US" w:eastAsia="zh-CN"/>
              </w:rPr>
              <w:t>2.报价包含：人工费、材料费、管理费、保险、维护、利润、税金等为完成本项目所需的所有费用，在实施期间不因市场因素而变动。</w:t>
            </w:r>
          </w:p>
        </w:tc>
      </w:tr>
    </w:tbl>
    <w:p w14:paraId="12ED545E">
      <w:pPr>
        <w:spacing w:line="460" w:lineRule="exact"/>
        <w:rPr>
          <w:rFonts w:ascii="仿宋" w:hAnsi="仿宋" w:eastAsia="仿宋" w:cs="仿宋"/>
          <w:b/>
          <w:bCs/>
          <w:sz w:val="30"/>
          <w:szCs w:val="30"/>
        </w:rPr>
      </w:pPr>
      <w:r>
        <w:rPr>
          <w:rFonts w:hint="eastAsia" w:ascii="仿宋" w:hAnsi="仿宋" w:eastAsia="仿宋" w:cs="仿宋"/>
          <w:b/>
          <w:bCs/>
          <w:sz w:val="30"/>
          <w:szCs w:val="30"/>
        </w:rPr>
        <w:t>七、服务商遴选方式</w:t>
      </w:r>
    </w:p>
    <w:p w14:paraId="30AEFFAD">
      <w:pPr>
        <w:spacing w:line="460" w:lineRule="exact"/>
        <w:ind w:firstLine="600" w:firstLineChars="200"/>
        <w:rPr>
          <w:rFonts w:hint="eastAsia" w:ascii="Calibri" w:hAnsi="Calibri" w:eastAsia="宋体" w:cs="Times New Roman"/>
          <w:b/>
          <w:bCs/>
          <w:sz w:val="32"/>
          <w:szCs w:val="32"/>
          <w:lang w:val="en-US" w:eastAsia="zh-CN"/>
        </w:rPr>
      </w:pPr>
      <w:r>
        <w:rPr>
          <w:rFonts w:hint="eastAsia" w:ascii="仿宋" w:hAnsi="仿宋" w:eastAsia="仿宋" w:cs="仿宋"/>
          <w:sz w:val="30"/>
          <w:szCs w:val="30"/>
        </w:rPr>
        <w:t>对服务商的服务质量、及时性及价格进行综合评价，遴选</w:t>
      </w:r>
      <w:r>
        <w:rPr>
          <w:rFonts w:hint="eastAsia" w:ascii="仿宋" w:hAnsi="仿宋" w:eastAsia="仿宋" w:cs="仿宋"/>
          <w:sz w:val="30"/>
          <w:szCs w:val="30"/>
          <w:lang w:val="en-US" w:eastAsia="zh-CN"/>
        </w:rPr>
        <w:t>3</w:t>
      </w:r>
      <w:r>
        <w:rPr>
          <w:rFonts w:hint="eastAsia" w:ascii="仿宋" w:hAnsi="仿宋" w:eastAsia="仿宋" w:cs="仿宋"/>
          <w:sz w:val="30"/>
          <w:szCs w:val="30"/>
        </w:rPr>
        <w:t>家</w:t>
      </w:r>
      <w:r>
        <w:rPr>
          <w:rFonts w:hint="eastAsia" w:ascii="仿宋" w:hAnsi="仿宋" w:eastAsia="仿宋" w:cs="仿宋"/>
          <w:sz w:val="30"/>
          <w:szCs w:val="30"/>
          <w:lang w:val="en-US" w:eastAsia="zh-CN"/>
        </w:rPr>
        <w:t>数据库</w:t>
      </w:r>
      <w:r>
        <w:rPr>
          <w:rFonts w:hint="eastAsia" w:ascii="仿宋" w:hAnsi="仿宋" w:eastAsia="仿宋" w:cs="仿宋"/>
          <w:sz w:val="30"/>
          <w:szCs w:val="30"/>
        </w:rPr>
        <w:t>公司。</w:t>
      </w:r>
      <w:bookmarkStart w:id="1" w:name="_GoBack"/>
      <w:bookmarkEnd w:id="1"/>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5BF28"/>
    <w:multiLevelType w:val="singleLevel"/>
    <w:tmpl w:val="0115BF28"/>
    <w:lvl w:ilvl="0" w:tentative="0">
      <w:start w:val="1"/>
      <w:numFmt w:val="decimal"/>
      <w:lvlText w:val="%1."/>
      <w:lvlJc w:val="left"/>
      <w:pPr>
        <w:tabs>
          <w:tab w:val="left" w:pos="312"/>
        </w:tabs>
      </w:pPr>
    </w:lvl>
  </w:abstractNum>
  <w:abstractNum w:abstractNumId="1">
    <w:nsid w:val="39D67899"/>
    <w:multiLevelType w:val="singleLevel"/>
    <w:tmpl w:val="39D67899"/>
    <w:lvl w:ilvl="0" w:tentative="0">
      <w:start w:val="1"/>
      <w:numFmt w:val="decimal"/>
      <w:suff w:val="nothing"/>
      <w:lvlText w:val="%1．"/>
      <w:lvlJc w:val="left"/>
      <w:pPr>
        <w:ind w:left="0" w:firstLine="400"/>
      </w:pPr>
      <w:rPr>
        <w:rFonts w:hint="default"/>
      </w:rPr>
    </w:lvl>
  </w:abstractNum>
  <w:abstractNum w:abstractNumId="2">
    <w:nsid w:val="4B2D4D7E"/>
    <w:multiLevelType w:val="multilevel"/>
    <w:tmpl w:val="4B2D4D7E"/>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7A9BF1"/>
    <w:multiLevelType w:val="singleLevel"/>
    <w:tmpl w:val="657A9BF1"/>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00000000"/>
    <w:rsid w:val="035B793B"/>
    <w:rsid w:val="0C1B6764"/>
    <w:rsid w:val="44960692"/>
    <w:rsid w:val="7460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qFormat/>
    <w:uiPriority w:val="99"/>
    <w:pPr>
      <w:keepNext/>
      <w:keepLines/>
      <w:widowControl w:val="0"/>
      <w:spacing w:before="120" w:after="120"/>
      <w:jc w:val="both"/>
      <w:outlineLvl w:val="3"/>
    </w:pPr>
    <w:rPr>
      <w:rFonts w:ascii="Cambria" w:hAnsi="Cambria" w:eastAsia="宋体" w:cs="宋体"/>
      <w:b/>
      <w:bCs/>
      <w:kern w:val="0"/>
      <w:sz w:val="28"/>
      <w:szCs w:val="28"/>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2187</Words>
  <Characters>2256</Characters>
  <Lines>0</Lines>
  <Paragraphs>0</Paragraphs>
  <TotalTime>17</TotalTime>
  <ScaleCrop>false</ScaleCrop>
  <LinksUpToDate>false</LinksUpToDate>
  <CharactersWithSpaces>2271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2024-09-12T01:39:00Z</dcterms:created>
  <dc:creator>Administrator</dc:creator>
  <cp:lastModifiedBy>加深</cp:lastModifiedBy>
  <dcterms:modified xsi:type="dcterms:W3CDTF">2024-09-14T08:33:11Z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D8D19A55949E4D4C92897B490A5895D4_12</vt:lpwstr>
  </property>
</Properties>
</file>