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64047">
      <w:pPr>
        <w:keepNext/>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微软雅黑"/>
          <w:b/>
          <w:bCs/>
          <w:kern w:val="44"/>
          <w:sz w:val="30"/>
          <w:szCs w:val="30"/>
          <w:lang w:eastAsia="zh-CN"/>
        </w:rPr>
      </w:pPr>
      <w:bookmarkStart w:id="0" w:name="_Toc344816509"/>
      <w:r>
        <w:rPr>
          <w:rFonts w:hint="eastAsia" w:ascii="宋体" w:hAnsi="宋体" w:eastAsia="宋体" w:cs="微软雅黑"/>
          <w:b/>
          <w:bCs/>
          <w:kern w:val="44"/>
          <w:sz w:val="30"/>
          <w:szCs w:val="30"/>
        </w:rPr>
        <w:t>柳州市</w:t>
      </w:r>
      <w:r>
        <w:rPr>
          <w:rFonts w:ascii="宋体" w:hAnsi="宋体" w:eastAsia="宋体" w:cs="微软雅黑"/>
          <w:b/>
          <w:bCs/>
          <w:kern w:val="44"/>
          <w:sz w:val="30"/>
          <w:szCs w:val="30"/>
        </w:rPr>
        <w:t>工人医院</w:t>
      </w:r>
      <w:r>
        <w:rPr>
          <w:rFonts w:hint="eastAsia" w:ascii="宋体" w:hAnsi="宋体" w:eastAsia="宋体" w:cs="微软雅黑"/>
          <w:b/>
          <w:bCs/>
          <w:kern w:val="44"/>
          <w:sz w:val="30"/>
          <w:szCs w:val="30"/>
          <w:lang w:eastAsia="zh-CN"/>
        </w:rPr>
        <w:t>心电信息管理</w:t>
      </w:r>
      <w:r>
        <w:rPr>
          <w:rFonts w:hint="eastAsia" w:ascii="宋体" w:hAnsi="宋体" w:eastAsia="宋体" w:cs="微软雅黑"/>
          <w:b/>
          <w:bCs/>
          <w:kern w:val="44"/>
          <w:sz w:val="30"/>
          <w:szCs w:val="30"/>
        </w:rPr>
        <w:t>系统</w:t>
      </w:r>
      <w:r>
        <w:rPr>
          <w:rFonts w:hint="eastAsia" w:ascii="宋体" w:hAnsi="宋体" w:eastAsia="宋体" w:cs="微软雅黑"/>
          <w:b/>
          <w:bCs/>
          <w:kern w:val="44"/>
          <w:sz w:val="30"/>
          <w:szCs w:val="30"/>
          <w:lang w:eastAsia="zh-CN"/>
        </w:rPr>
        <w:t>升级改造</w:t>
      </w:r>
      <w:r>
        <w:rPr>
          <w:rFonts w:hint="eastAsia" w:ascii="宋体" w:hAnsi="宋体" w:eastAsia="宋体" w:cs="微软雅黑"/>
          <w:b/>
          <w:bCs/>
          <w:kern w:val="44"/>
          <w:sz w:val="30"/>
          <w:szCs w:val="30"/>
        </w:rPr>
        <w:t>技术参数</w:t>
      </w:r>
      <w:r>
        <w:rPr>
          <w:rFonts w:hint="eastAsia" w:ascii="宋体" w:hAnsi="宋体" w:eastAsia="宋体" w:cs="微软雅黑"/>
          <w:b/>
          <w:bCs/>
          <w:kern w:val="44"/>
          <w:sz w:val="30"/>
          <w:szCs w:val="30"/>
          <w:lang w:eastAsia="zh-CN"/>
        </w:rPr>
        <w:t>要求</w:t>
      </w:r>
    </w:p>
    <w:p w14:paraId="12521E1A">
      <w:pPr>
        <w:keepNext/>
        <w:keepLines/>
        <w:pageBreakBefore w:val="0"/>
        <w:widowControl w:val="0"/>
        <w:kinsoku/>
        <w:wordWrap/>
        <w:overflowPunct/>
        <w:topLinePunct w:val="0"/>
        <w:autoSpaceDE/>
        <w:autoSpaceDN/>
        <w:bidi w:val="0"/>
        <w:adjustRightInd/>
        <w:snapToGrid/>
        <w:spacing w:line="312" w:lineRule="auto"/>
        <w:ind w:left="420" w:leftChars="200"/>
        <w:jc w:val="left"/>
        <w:textAlignment w:val="auto"/>
        <w:rPr>
          <w:rFonts w:ascii="宋体" w:hAnsi="宋体" w:eastAsia="宋体" w:cs="微软雅黑"/>
          <w:b/>
          <w:bCs/>
          <w:kern w:val="44"/>
          <w:sz w:val="24"/>
          <w:szCs w:val="24"/>
        </w:rPr>
      </w:pPr>
    </w:p>
    <w:bookmarkEnd w:id="0"/>
    <w:p w14:paraId="5D0DB64E">
      <w:pPr>
        <w:pStyle w:val="10"/>
        <w:pageBreakBefore w:val="0"/>
        <w:widowControl w:val="0"/>
        <w:numPr>
          <w:ilvl w:val="0"/>
          <w:numId w:val="0"/>
        </w:numPr>
        <w:kinsoku/>
        <w:wordWrap/>
        <w:overflowPunct/>
        <w:topLinePunct w:val="0"/>
        <w:autoSpaceDE/>
        <w:autoSpaceDN/>
        <w:bidi w:val="0"/>
        <w:adjustRightInd/>
        <w:snapToGrid/>
        <w:spacing w:line="312" w:lineRule="auto"/>
        <w:ind w:leftChars="0"/>
        <w:textAlignment w:val="auto"/>
        <w:rPr>
          <w:rFonts w:ascii="宋体" w:hAnsi="宋体" w:eastAsia="宋体"/>
          <w:b/>
          <w:sz w:val="28"/>
          <w:szCs w:val="28"/>
        </w:rPr>
      </w:pPr>
      <w:r>
        <w:rPr>
          <w:rFonts w:hint="eastAsia" w:ascii="宋体" w:hAnsi="宋体"/>
          <w:b/>
          <w:sz w:val="28"/>
          <w:szCs w:val="28"/>
          <w:lang w:val="en-US" w:eastAsia="zh-CN"/>
        </w:rPr>
        <w:t>一、</w:t>
      </w:r>
      <w:r>
        <w:rPr>
          <w:rFonts w:hint="eastAsia" w:ascii="宋体" w:hAnsi="宋体" w:eastAsia="宋体"/>
          <w:b/>
          <w:sz w:val="28"/>
          <w:szCs w:val="28"/>
        </w:rPr>
        <w:t>项目背景</w:t>
      </w:r>
    </w:p>
    <w:p w14:paraId="79391044">
      <w:pPr>
        <w:pageBreakBefore w:val="0"/>
        <w:widowControl w:val="0"/>
        <w:kinsoku/>
        <w:wordWrap/>
        <w:overflowPunct/>
        <w:topLinePunct w:val="0"/>
        <w:autoSpaceDE/>
        <w:autoSpaceDN/>
        <w:bidi w:val="0"/>
        <w:adjustRightInd/>
        <w:snapToGrid/>
        <w:spacing w:line="312" w:lineRule="auto"/>
        <w:ind w:firstLine="480" w:firstLineChars="200"/>
        <w:textAlignment w:val="auto"/>
        <w:rPr>
          <w:rFonts w:ascii="宋体" w:hAnsi="宋体" w:eastAsia="宋体"/>
          <w:sz w:val="24"/>
          <w:szCs w:val="24"/>
        </w:rPr>
      </w:pPr>
      <w:r>
        <w:rPr>
          <w:rFonts w:hint="eastAsia" w:ascii="宋体" w:hAnsi="宋体"/>
          <w:sz w:val="24"/>
          <w:szCs w:val="24"/>
          <w:lang w:eastAsia="zh-CN"/>
        </w:rPr>
        <w:t>自</w:t>
      </w:r>
      <w:r>
        <w:rPr>
          <w:rFonts w:hint="eastAsia" w:ascii="宋体" w:hAnsi="宋体"/>
          <w:sz w:val="24"/>
          <w:szCs w:val="24"/>
          <w:lang w:val="en-US" w:eastAsia="zh-CN"/>
        </w:rPr>
        <w:t>2012年起，</w:t>
      </w:r>
      <w:r>
        <w:rPr>
          <w:rFonts w:hint="eastAsia" w:ascii="宋体" w:hAnsi="宋体" w:eastAsia="宋体"/>
          <w:sz w:val="24"/>
          <w:szCs w:val="24"/>
          <w:lang w:eastAsia="zh-CN"/>
        </w:rPr>
        <w:t>医院应用麦迪克斯心电信息管理系统，</w:t>
      </w:r>
      <w:r>
        <w:rPr>
          <w:rFonts w:hint="eastAsia" w:ascii="宋体" w:hAnsi="宋体"/>
          <w:sz w:val="24"/>
          <w:szCs w:val="24"/>
          <w:lang w:eastAsia="zh-CN"/>
        </w:rPr>
        <w:t>一直较稳定，因在用</w:t>
      </w:r>
      <w:r>
        <w:rPr>
          <w:rFonts w:hint="eastAsia" w:ascii="宋体" w:hAnsi="宋体" w:eastAsia="宋体"/>
          <w:sz w:val="24"/>
          <w:szCs w:val="24"/>
          <w:lang w:eastAsia="zh-CN"/>
        </w:rPr>
        <w:t>系统版本</w:t>
      </w:r>
      <w:r>
        <w:rPr>
          <w:rFonts w:hint="eastAsia" w:ascii="宋体" w:hAnsi="宋体"/>
          <w:sz w:val="24"/>
          <w:szCs w:val="24"/>
          <w:lang w:eastAsia="zh-CN"/>
        </w:rPr>
        <w:t>厂家</w:t>
      </w:r>
      <w:r>
        <w:rPr>
          <w:rFonts w:hint="eastAsia" w:ascii="宋体" w:hAnsi="宋体" w:eastAsia="宋体"/>
          <w:sz w:val="24"/>
          <w:szCs w:val="24"/>
          <w:lang w:eastAsia="zh-CN"/>
        </w:rPr>
        <w:t>现已不</w:t>
      </w:r>
      <w:r>
        <w:rPr>
          <w:rFonts w:hint="eastAsia" w:ascii="宋体" w:hAnsi="宋体"/>
          <w:sz w:val="24"/>
          <w:szCs w:val="24"/>
          <w:lang w:eastAsia="zh-CN"/>
        </w:rPr>
        <w:t>再</w:t>
      </w:r>
      <w:r>
        <w:rPr>
          <w:rFonts w:hint="eastAsia" w:ascii="宋体" w:hAnsi="宋体" w:eastAsia="宋体"/>
          <w:sz w:val="24"/>
          <w:szCs w:val="24"/>
          <w:lang w:eastAsia="zh-CN"/>
        </w:rPr>
        <w:t>维护，</w:t>
      </w:r>
      <w:r>
        <w:rPr>
          <w:rFonts w:hint="eastAsia" w:ascii="宋体" w:hAnsi="宋体"/>
          <w:sz w:val="24"/>
          <w:szCs w:val="24"/>
          <w:lang w:eastAsia="zh-CN"/>
        </w:rPr>
        <w:t>为了满足医院发展的需要</w:t>
      </w:r>
      <w:r>
        <w:rPr>
          <w:rFonts w:hint="eastAsia" w:ascii="宋体" w:hAnsi="宋体" w:eastAsia="宋体"/>
          <w:sz w:val="24"/>
          <w:szCs w:val="24"/>
          <w:lang w:eastAsia="zh-CN"/>
        </w:rPr>
        <w:t>，新版</w:t>
      </w:r>
      <w:r>
        <w:rPr>
          <w:rFonts w:hint="default" w:ascii="宋体" w:hAnsi="宋体" w:eastAsia="宋体"/>
          <w:sz w:val="24"/>
          <w:szCs w:val="24"/>
          <w:lang w:val="en-US" w:eastAsia="zh-CN"/>
        </w:rPr>
        <w:t>B/S</w:t>
      </w:r>
      <w:r>
        <w:rPr>
          <w:rFonts w:hint="eastAsia" w:ascii="宋体" w:hAnsi="宋体" w:eastAsia="宋体"/>
          <w:sz w:val="24"/>
          <w:szCs w:val="24"/>
          <w:lang w:val="en-US" w:eastAsia="zh-CN"/>
        </w:rPr>
        <w:t>架构心电信息管理系统更适合</w:t>
      </w:r>
      <w:r>
        <w:rPr>
          <w:rFonts w:hint="eastAsia" w:ascii="宋体" w:hAnsi="宋体"/>
          <w:sz w:val="24"/>
          <w:szCs w:val="24"/>
          <w:lang w:val="en-US" w:eastAsia="zh-CN"/>
        </w:rPr>
        <w:t>医院的需求，且相对之前版本，更易部署，易维护，响应速度更快，能有效提升医生诊断效率，因此需要对心电信息管理系统进行升级改造。</w:t>
      </w:r>
    </w:p>
    <w:p w14:paraId="12E0DAE3">
      <w:pPr>
        <w:pStyle w:val="10"/>
        <w:pageBreakBefore w:val="0"/>
        <w:widowControl w:val="0"/>
        <w:numPr>
          <w:ilvl w:val="0"/>
          <w:numId w:val="0"/>
        </w:numPr>
        <w:kinsoku/>
        <w:wordWrap/>
        <w:overflowPunct/>
        <w:topLinePunct w:val="0"/>
        <w:autoSpaceDE/>
        <w:autoSpaceDN/>
        <w:bidi w:val="0"/>
        <w:adjustRightInd/>
        <w:snapToGrid/>
        <w:spacing w:line="312" w:lineRule="auto"/>
        <w:ind w:leftChars="0"/>
        <w:textAlignment w:val="auto"/>
      </w:pPr>
      <w:r>
        <w:rPr>
          <w:rFonts w:hint="eastAsia" w:ascii="宋体" w:hAnsi="宋体"/>
          <w:b/>
          <w:sz w:val="28"/>
          <w:szCs w:val="28"/>
          <w:lang w:val="en-US" w:eastAsia="zh-CN"/>
        </w:rPr>
        <w:t>二、</w:t>
      </w:r>
      <w:r>
        <w:rPr>
          <w:rFonts w:hint="eastAsia" w:ascii="宋体" w:hAnsi="宋体" w:eastAsia="宋体"/>
          <w:b/>
          <w:sz w:val="28"/>
          <w:szCs w:val="28"/>
        </w:rPr>
        <w:t>项目建设内容及要求</w:t>
      </w:r>
    </w:p>
    <w:p w14:paraId="42050D26">
      <w:pPr>
        <w:spacing w:line="312" w:lineRule="auto"/>
        <w:ind w:firstLine="0" w:firstLineChars="0"/>
        <w:jc w:val="both"/>
      </w:pPr>
      <w:r>
        <w:rPr>
          <w:rFonts w:hint="default" w:ascii="宋体" w:hAnsi="宋体" w:eastAsia="宋体" w:cs="宋体"/>
          <w:b/>
          <w:bCs/>
          <w:i w:val="0"/>
          <w:iCs w:val="0"/>
          <w:color w:val="auto"/>
          <w:kern w:val="2"/>
          <w:sz w:val="28"/>
          <w:szCs w:val="28"/>
          <w:highlight w:val="none"/>
          <w:vertAlign w:val="baseline"/>
          <w:lang w:val="en-US" w:eastAsia="zh-CN"/>
        </w:rPr>
        <w:t>项目建设内容及要求</w:t>
      </w:r>
    </w:p>
    <w:tbl>
      <w:tblPr>
        <w:tblStyle w:val="7"/>
        <w:tblW w:w="8358" w:type="dxa"/>
        <w:jc w:val="center"/>
        <w:tblLayout w:type="fixed"/>
        <w:tblCellMar>
          <w:top w:w="0" w:type="dxa"/>
          <w:left w:w="108" w:type="dxa"/>
          <w:bottom w:w="0" w:type="dxa"/>
          <w:right w:w="108" w:type="dxa"/>
        </w:tblCellMar>
      </w:tblPr>
      <w:tblGrid>
        <w:gridCol w:w="704"/>
        <w:gridCol w:w="992"/>
        <w:gridCol w:w="1134"/>
        <w:gridCol w:w="4678"/>
        <w:gridCol w:w="850"/>
      </w:tblGrid>
      <w:tr w14:paraId="734F1F4E">
        <w:tblPrEx>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DA8FCA7">
            <w:pPr>
              <w:spacing w:line="312" w:lineRule="auto"/>
              <w:jc w:val="left"/>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序号</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96C045B">
            <w:pPr>
              <w:spacing w:line="312" w:lineRule="auto"/>
              <w:jc w:val="left"/>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模块</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CAD9A2E">
            <w:pPr>
              <w:spacing w:line="312" w:lineRule="auto"/>
              <w:jc w:val="left"/>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功能</w:t>
            </w:r>
          </w:p>
        </w:tc>
        <w:tc>
          <w:tcPr>
            <w:tcW w:w="46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B544815">
            <w:pPr>
              <w:spacing w:line="312" w:lineRule="auto"/>
              <w:jc w:val="left"/>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内涵描述</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DDE5F19">
            <w:pPr>
              <w:spacing w:line="312" w:lineRule="auto"/>
              <w:jc w:val="left"/>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质保</w:t>
            </w:r>
          </w:p>
        </w:tc>
      </w:tr>
      <w:tr w14:paraId="44BDDEBA">
        <w:tblPrEx>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C2F551">
            <w:pPr>
              <w:spacing w:line="312" w:lineRule="auto"/>
              <w:jc w:val="left"/>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1</w:t>
            </w:r>
          </w:p>
        </w:tc>
        <w:tc>
          <w:tcPr>
            <w:tcW w:w="992"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C83BB0">
            <w:pPr>
              <w:spacing w:line="312" w:lineRule="auto"/>
              <w:jc w:val="left"/>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服务器</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9F2A45">
            <w:pPr>
              <w:spacing w:line="312" w:lineRule="auto"/>
              <w:jc w:val="left"/>
              <w:rPr>
                <w:rFonts w:hint="eastAsia" w:ascii="宋体" w:hAnsi="宋体" w:eastAsia="宋体" w:cs="宋体"/>
                <w:sz w:val="21"/>
                <w:szCs w:val="21"/>
              </w:rPr>
            </w:pPr>
            <w:bookmarkStart w:id="1" w:name="_Toc26824"/>
            <w:bookmarkStart w:id="2" w:name="_Toc10069"/>
            <w:bookmarkStart w:id="3" w:name="_Toc26671"/>
            <w:bookmarkStart w:id="4" w:name="_Toc7270"/>
            <w:bookmarkStart w:id="5" w:name="_Toc24524"/>
            <w:bookmarkStart w:id="6" w:name="_Toc14946680"/>
            <w:bookmarkStart w:id="7" w:name="_Toc918"/>
            <w:r>
              <w:rPr>
                <w:rFonts w:hint="eastAsia" w:ascii="宋体" w:hAnsi="宋体" w:eastAsia="宋体" w:cs="宋体"/>
                <w:b w:val="0"/>
                <w:bCs w:val="0"/>
                <w:i w:val="0"/>
                <w:iCs w:val="0"/>
                <w:color w:val="auto"/>
                <w:kern w:val="2"/>
                <w:sz w:val="21"/>
                <w:szCs w:val="21"/>
                <w:highlight w:val="none"/>
                <w:vertAlign w:val="baseline"/>
                <w:lang w:val="en-US" w:eastAsia="zh-CN"/>
              </w:rPr>
              <w:t>数据存储</w:t>
            </w:r>
            <w:bookmarkEnd w:id="1"/>
            <w:bookmarkEnd w:id="2"/>
            <w:bookmarkEnd w:id="3"/>
            <w:bookmarkEnd w:id="4"/>
            <w:bookmarkEnd w:id="5"/>
            <w:bookmarkEnd w:id="6"/>
            <w:bookmarkEnd w:id="7"/>
          </w:p>
        </w:tc>
        <w:tc>
          <w:tcPr>
            <w:tcW w:w="46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526D422">
            <w:pPr>
              <w:spacing w:line="312" w:lineRule="auto"/>
              <w:jc w:val="left"/>
              <w:rPr>
                <w:rFonts w:hint="eastAsia" w:ascii="宋体" w:hAnsi="宋体" w:eastAsia="宋体" w:cs="宋体"/>
                <w:sz w:val="21"/>
                <w:szCs w:val="21"/>
              </w:rPr>
            </w:pPr>
            <w:r>
              <w:rPr>
                <w:rFonts w:hint="eastAsia" w:ascii="宋体" w:hAnsi="宋体" w:eastAsia="宋体" w:cs="宋体"/>
                <w:b/>
                <w:bCs/>
                <w:i w:val="0"/>
                <w:iCs w:val="0"/>
                <w:color w:val="auto"/>
                <w:kern w:val="2"/>
                <w:sz w:val="21"/>
                <w:szCs w:val="21"/>
                <w:highlight w:val="none"/>
                <w:vertAlign w:val="baseline"/>
                <w:lang w:val="en-US" w:eastAsia="zh-CN"/>
              </w:rPr>
              <w:t>存储服务器：</w:t>
            </w:r>
            <w:r>
              <w:rPr>
                <w:rFonts w:hint="eastAsia" w:ascii="宋体" w:hAnsi="宋体" w:eastAsia="宋体" w:cs="宋体"/>
                <w:b w:val="0"/>
                <w:bCs w:val="0"/>
                <w:i w:val="0"/>
                <w:iCs w:val="0"/>
                <w:color w:val="auto"/>
                <w:kern w:val="2"/>
                <w:sz w:val="21"/>
                <w:szCs w:val="21"/>
                <w:highlight w:val="none"/>
                <w:vertAlign w:val="baseline"/>
                <w:lang w:val="en-US" w:eastAsia="zh-CN"/>
              </w:rPr>
              <w:t>设立在医院信息中心，长期存储心电数据。提供全医院电脑临床浏览。以SQL server2008 DBMS作为基础的服务器模块，有各种数据库表格。服务器软件运行于Windows2008 Server以上操作系统版本,可根据医院需求配置。以美国FDA所制定的XML格式为架构心电图传输标准，系统支持检查病人基本信息的HIS自动获取，和院方的HIS、LIS、PACS、EMR、体检等系统完整集成，提供所需要的心电图数据资料，支持HL7标准的集成技术，中间数据库的集成技术，DICOM标准的集成技术。</w:t>
            </w:r>
          </w:p>
        </w:tc>
        <w:tc>
          <w:tcPr>
            <w:tcW w:w="850"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C0652A9">
            <w:pPr>
              <w:spacing w:line="312" w:lineRule="auto"/>
              <w:jc w:val="left"/>
              <w:rPr>
                <w:rFonts w:hint="eastAsia" w:ascii="宋体" w:hAnsi="宋体" w:eastAsia="宋体" w:cs="宋体"/>
                <w:sz w:val="21"/>
                <w:szCs w:val="21"/>
              </w:rPr>
            </w:pPr>
          </w:p>
        </w:tc>
      </w:tr>
      <w:tr w14:paraId="62AE02D2">
        <w:tblPrEx>
          <w:tblCellMar>
            <w:top w:w="0" w:type="dxa"/>
            <w:left w:w="108" w:type="dxa"/>
            <w:bottom w:w="0" w:type="dxa"/>
            <w:right w:w="108" w:type="dxa"/>
          </w:tblCellMar>
        </w:tblPrEx>
        <w:trPr>
          <w:trHeight w:val="938"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53A8E7AC">
            <w:pPr>
              <w:spacing w:line="312" w:lineRule="auto"/>
              <w:jc w:val="left"/>
              <w:rPr>
                <w:rFonts w:hint="eastAsia" w:ascii="宋体" w:hAnsi="宋体" w:eastAsia="宋体" w:cs="宋体"/>
                <w:sz w:val="21"/>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165459F7">
            <w:pPr>
              <w:spacing w:line="312" w:lineRule="auto"/>
              <w:jc w:val="left"/>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2A5393">
            <w:pPr>
              <w:spacing w:line="312" w:lineRule="auto"/>
              <w:jc w:val="left"/>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系统接口</w:t>
            </w:r>
          </w:p>
        </w:tc>
        <w:tc>
          <w:tcPr>
            <w:tcW w:w="46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4E4BBC6">
            <w:pPr>
              <w:spacing w:line="312" w:lineRule="auto"/>
              <w:jc w:val="left"/>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实现与HIS系统、电子病历系统的双向通讯，共享患者信息，并实现在HIS医生工作站上直接调用心电图的功能。具有多种接口方式，包括HL7、主动数据接口、被动数据接口、中间表、共享数据库。根据医生实际情况可灵活选择接口类型。</w:t>
            </w:r>
          </w:p>
        </w:tc>
        <w:tc>
          <w:tcPr>
            <w:tcW w:w="850" w:type="dxa"/>
            <w:vMerge w:val="continue"/>
            <w:tcBorders>
              <w:top w:val="single" w:color="auto" w:sz="4" w:space="0"/>
              <w:left w:val="single" w:color="auto" w:sz="4" w:space="0"/>
              <w:bottom w:val="single" w:color="auto" w:sz="4" w:space="0"/>
              <w:right w:val="single" w:color="auto" w:sz="4" w:space="0"/>
            </w:tcBorders>
          </w:tcPr>
          <w:p w14:paraId="620DC36B">
            <w:pPr>
              <w:spacing w:line="312" w:lineRule="auto"/>
              <w:jc w:val="left"/>
              <w:rPr>
                <w:rFonts w:hint="eastAsia" w:ascii="宋体" w:hAnsi="宋体" w:eastAsia="宋体" w:cs="宋体"/>
                <w:sz w:val="21"/>
                <w:szCs w:val="21"/>
              </w:rPr>
            </w:pPr>
          </w:p>
        </w:tc>
      </w:tr>
      <w:tr w14:paraId="034A3FCA">
        <w:tblPrEx>
          <w:tblCellMar>
            <w:top w:w="0" w:type="dxa"/>
            <w:left w:w="108" w:type="dxa"/>
            <w:bottom w:w="0" w:type="dxa"/>
            <w:right w:w="108" w:type="dxa"/>
          </w:tblCellMar>
        </w:tblPrEx>
        <w:trPr>
          <w:trHeight w:val="608" w:hRule="atLeast"/>
          <w:jc w:val="center"/>
        </w:trPr>
        <w:tc>
          <w:tcPr>
            <w:tcW w:w="70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952C2A2">
            <w:pPr>
              <w:spacing w:line="312" w:lineRule="auto"/>
              <w:jc w:val="left"/>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2</w:t>
            </w:r>
          </w:p>
        </w:tc>
        <w:tc>
          <w:tcPr>
            <w:tcW w:w="992"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4F7E75">
            <w:pPr>
              <w:spacing w:line="312" w:lineRule="auto"/>
              <w:jc w:val="left"/>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业务模块</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56F56E">
            <w:pPr>
              <w:spacing w:line="312" w:lineRule="auto"/>
              <w:jc w:val="left"/>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登记叫号</w:t>
            </w:r>
          </w:p>
        </w:tc>
        <w:tc>
          <w:tcPr>
            <w:tcW w:w="46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3887EB">
            <w:pPr>
              <w:spacing w:line="240" w:lineRule="auto"/>
              <w:ind w:firstLine="480"/>
              <w:jc w:val="both"/>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1.登记：预约心电图、动态心电、运动心电的待检查患者，并实现分诊。完成患者信息的录入工作。对于住院检查，在检查申请提交后，就应将相关信息传入本系统，并针对需要进行预约安排的检查申请，按照预约处理策略可返回预约结果，可打印出预约单。对于门诊检查，患者交费后可前往相关检查科室进行预约，系统提取检查项目，按相应策略处理并可打印出预约单。预约单含有患者姓名、ID、检查项目、预约时间等信息，以及识别条码。通过HIS接口与HIS系统通讯，直接获取待检查患者的信息，并且返回心电图检查的注意事项。</w:t>
            </w:r>
          </w:p>
          <w:p w14:paraId="28F04EA2">
            <w:pPr>
              <w:spacing w:line="240" w:lineRule="auto"/>
              <w:ind w:firstLine="480"/>
              <w:jc w:val="both"/>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系统支持检查病人基本信息的HIS自动获取，和院方的HIS、LIS、PACS、EMR、体检等系统完整集成。支持HL7标准的集成技术，中间数据库的集成技术，DICOM标准的集成技术。</w:t>
            </w:r>
          </w:p>
          <w:p w14:paraId="2453B017">
            <w:pPr>
              <w:spacing w:line="240" w:lineRule="auto"/>
              <w:ind w:firstLine="480"/>
              <w:jc w:val="both"/>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登记新病人资料，根据登记先后顺序自动排队，并在大屏幕显示已登记患者名称，分配患者进入检查房间或床号。可急诊优先和人工干预叫号屏，并可以同时作为视频播放器，播放检查须知或科室介绍、专家介绍，显示年月日等。</w:t>
            </w:r>
          </w:p>
          <w:p w14:paraId="32CAEB82">
            <w:pPr>
              <w:spacing w:line="240" w:lineRule="auto"/>
              <w:ind w:firstLine="480"/>
              <w:jc w:val="both"/>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支持临床、门诊医生工作站、体检工作站电子申请单下达。自动检索识别已检查过的病历，减少患者信息的重复登记及文字录入，实时显示检查科室工作状态，方便安排患者检查。能够从HIS系统获得病人ID、基本信息、交费信息、诊断信息、检查要求等。在数据库中建立病人唯一ID，方便管理。自动产生发放心电图病人检查号，可提供集中登记、分部门登记两种登记方式。</w:t>
            </w:r>
          </w:p>
          <w:p w14:paraId="12EF05A1">
            <w:pPr>
              <w:spacing w:line="312" w:lineRule="auto"/>
              <w:jc w:val="left"/>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支持打印扫描条型码，病人卡的识别。对纸张申请能直接录入并安排时间。</w:t>
            </w:r>
          </w:p>
          <w:p w14:paraId="7D881C69">
            <w:pPr>
              <w:spacing w:line="240" w:lineRule="auto"/>
              <w:ind w:firstLine="480"/>
              <w:jc w:val="both"/>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2.电子叫号：该模块应用于门诊心电图室，与预约登记工作站联合工作，通过在候诊区安装液晶显示屏与音响，实现自动语音呼叫患者就诊，并在液晶显示屏上显示待检查患者信息，同时可显示其它广告类信息。支持姓名的自动语音呼叫，该功能优化心电图检查流程，将患者固定在候诊区，提高医院形象，增加患者就诊满意度；提供标准女声语音库，利用虚拟叫号器或物理叫号器，呼叫检查病人。</w:t>
            </w:r>
          </w:p>
          <w:p w14:paraId="2558D911">
            <w:pPr>
              <w:spacing w:line="240" w:lineRule="auto"/>
              <w:ind w:firstLine="480"/>
              <w:jc w:val="both"/>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支持姓名的自动语音呼叫。</w:t>
            </w:r>
          </w:p>
          <w:p w14:paraId="5527A442">
            <w:pPr>
              <w:spacing w:line="240" w:lineRule="auto"/>
              <w:ind w:firstLine="480"/>
              <w:jc w:val="both"/>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具有自动呼叫和医生手动呼叫两种模式。当前检查病人语音呼叫，采集医生手动触发与软件点击呼叫。</w:t>
            </w:r>
          </w:p>
          <w:p w14:paraId="6E311F3E">
            <w:pPr>
              <w:spacing w:line="240" w:lineRule="auto"/>
              <w:jc w:val="both"/>
              <w:rPr>
                <w:rFonts w:hint="eastAsia" w:ascii="宋体" w:hAnsi="宋体" w:eastAsia="宋体" w:cs="宋体"/>
                <w:sz w:val="21"/>
                <w:szCs w:val="21"/>
              </w:rPr>
            </w:pPr>
            <w:r>
              <w:rPr>
                <w:rFonts w:hint="eastAsia" w:ascii="宋体" w:hAnsi="宋体" w:eastAsia="宋体" w:cs="宋体"/>
                <w:b/>
                <w:bCs/>
                <w:i w:val="0"/>
                <w:iCs w:val="0"/>
                <w:color w:val="auto"/>
                <w:kern w:val="2"/>
                <w:sz w:val="21"/>
                <w:szCs w:val="21"/>
                <w:highlight w:val="none"/>
                <w:vertAlign w:val="baseline"/>
                <w:lang w:val="en-US" w:eastAsia="zh-CN"/>
              </w:rPr>
              <w:t>叫号模式：</w:t>
            </w:r>
          </w:p>
          <w:p w14:paraId="01414DAA">
            <w:pPr>
              <w:spacing w:line="240" w:lineRule="auto"/>
              <w:ind w:firstLine="480"/>
              <w:jc w:val="both"/>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通过预约登记工作站控制患者排队与叫号。候诊区配置液晶电视和语音系统，显示待检查患者信息，以及自动语音呼叫下一个患者。</w:t>
            </w:r>
          </w:p>
          <w:p w14:paraId="19FFCEF1">
            <w:pPr>
              <w:spacing w:line="240" w:lineRule="auto"/>
              <w:ind w:firstLine="480"/>
              <w:jc w:val="both"/>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进入排队队列：当病人拿检查申请单到科室后，前往登记台登记，护士根据病人申请单在登记工作站输入患者信息，此时患者自动进入排队队列。</w:t>
            </w:r>
          </w:p>
          <w:p w14:paraId="3A8E6189">
            <w:pPr>
              <w:spacing w:after="120" w:line="240" w:lineRule="auto"/>
              <w:jc w:val="left"/>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highlight w:val="none"/>
                <w:vertAlign w:val="baseline"/>
                <w:lang w:val="zh-CN" w:eastAsia="zh-CN"/>
              </w:rPr>
              <w:t>就诊：病人来到候诊区域，找位置坐下，留意候诊区的排队信息显示屏动态，当环境音响系统呼叫到自己的号码或姓名时，根据在电子屏上显示出来的检查房间信息，前往就诊。</w:t>
            </w:r>
          </w:p>
        </w:tc>
        <w:tc>
          <w:tcPr>
            <w:tcW w:w="850" w:type="dxa"/>
            <w:vMerge w:val="continue"/>
            <w:tcBorders>
              <w:top w:val="single" w:color="auto" w:sz="4" w:space="0"/>
              <w:left w:val="single" w:color="auto" w:sz="4" w:space="0"/>
              <w:bottom w:val="single" w:color="auto" w:sz="4" w:space="0"/>
              <w:right w:val="single" w:color="auto" w:sz="4" w:space="0"/>
            </w:tcBorders>
          </w:tcPr>
          <w:p w14:paraId="17AD7ED1">
            <w:pPr>
              <w:spacing w:line="312" w:lineRule="auto"/>
              <w:jc w:val="left"/>
              <w:rPr>
                <w:rFonts w:hint="eastAsia" w:ascii="宋体" w:hAnsi="宋体" w:eastAsia="宋体" w:cs="宋体"/>
                <w:sz w:val="21"/>
                <w:szCs w:val="21"/>
              </w:rPr>
            </w:pPr>
          </w:p>
        </w:tc>
      </w:tr>
      <w:tr w14:paraId="4DCE779E">
        <w:tblPrEx>
          <w:tblCellMar>
            <w:top w:w="0" w:type="dxa"/>
            <w:left w:w="108" w:type="dxa"/>
            <w:bottom w:w="0" w:type="dxa"/>
            <w:right w:w="108" w:type="dxa"/>
          </w:tblCellMar>
        </w:tblPrEx>
        <w:trPr>
          <w:trHeight w:val="607"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572CAFD5">
            <w:pPr>
              <w:spacing w:line="312" w:lineRule="auto"/>
              <w:jc w:val="left"/>
              <w:rPr>
                <w:rFonts w:hint="eastAsia" w:ascii="宋体" w:hAnsi="宋体" w:eastAsia="宋体" w:cs="宋体"/>
                <w:sz w:val="21"/>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685951D">
            <w:pPr>
              <w:spacing w:line="312" w:lineRule="auto"/>
              <w:jc w:val="left"/>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8A128D">
            <w:pPr>
              <w:spacing w:line="312" w:lineRule="auto"/>
              <w:jc w:val="left"/>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门诊检查采集工作站+诊断工作站</w:t>
            </w:r>
          </w:p>
        </w:tc>
        <w:tc>
          <w:tcPr>
            <w:tcW w:w="46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68F001">
            <w:pPr>
              <w:spacing w:line="240" w:lineRule="auto"/>
              <w:jc w:val="both"/>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1.采集工作站：为固定位置的心电图检查设备，主要应用于门诊心电图室，基于数字化设计，具有强大的心电图分析、测量功能。获取预约登记工作站上的待检查患者列表，并直接进行心电图采集、记录、报告工作。患者的心电图与报告数据自动上传至心电服务器集中存储，支持调阅服务器上所有患者的心电图。</w:t>
            </w:r>
          </w:p>
          <w:p w14:paraId="605C96F6">
            <w:pPr>
              <w:spacing w:line="240" w:lineRule="auto"/>
              <w:ind w:firstLine="480"/>
              <w:jc w:val="both"/>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（1）支持新患者及快速心电两种采集模式，分别适用于门诊和急诊患者。</w:t>
            </w:r>
          </w:p>
          <w:p w14:paraId="04C98B3D">
            <w:pPr>
              <w:spacing w:line="240" w:lineRule="auto"/>
              <w:ind w:firstLine="480"/>
              <w:jc w:val="both"/>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（2）支持12导心电图加做功能，加做V7V8V9、V3RV4RV5R等加做方式组合。</w:t>
            </w:r>
          </w:p>
          <w:p w14:paraId="61D2721C">
            <w:pPr>
              <w:spacing w:line="240" w:lineRule="auto"/>
              <w:ind w:firstLine="480"/>
              <w:jc w:val="both"/>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（3）支持12导同步心电+3导心向量的采集模式。</w:t>
            </w:r>
          </w:p>
          <w:p w14:paraId="158156C2">
            <w:pPr>
              <w:spacing w:line="240" w:lineRule="auto"/>
              <w:ind w:firstLine="480"/>
              <w:jc w:val="both"/>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（4）支持12导、15导、16导、18导联同步心电多种检查项目的采集模式。</w:t>
            </w:r>
          </w:p>
          <w:p w14:paraId="36F96CFB">
            <w:pPr>
              <w:spacing w:line="240" w:lineRule="auto"/>
              <w:ind w:firstLine="480"/>
              <w:jc w:val="both"/>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（5）支持心向量检查项目的采集模式。</w:t>
            </w:r>
          </w:p>
          <w:p w14:paraId="68E5C2EF">
            <w:pPr>
              <w:spacing w:line="240" w:lineRule="auto"/>
              <w:ind w:firstLine="480"/>
              <w:jc w:val="both"/>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（6）支持心室晚电位检查项目的采集模式。</w:t>
            </w:r>
          </w:p>
          <w:p w14:paraId="1B34C2CB">
            <w:pPr>
              <w:spacing w:line="240" w:lineRule="auto"/>
              <w:ind w:firstLine="480"/>
              <w:jc w:val="both"/>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（7）支持心率变异检查项目的采集模式。</w:t>
            </w:r>
          </w:p>
          <w:p w14:paraId="4A863EF2">
            <w:pPr>
              <w:spacing w:line="240" w:lineRule="auto"/>
              <w:ind w:firstLine="480"/>
              <w:jc w:val="both"/>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（8）支持高频心电、频谱心电的采集测量</w:t>
            </w:r>
          </w:p>
          <w:p w14:paraId="5156AF0B">
            <w:pPr>
              <w:spacing w:line="240" w:lineRule="auto"/>
              <w:ind w:firstLine="480"/>
              <w:jc w:val="both"/>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（9）支持阿托品试验检查项目服药前、服药后首次检查以及服药后的采集模式。</w:t>
            </w:r>
          </w:p>
          <w:p w14:paraId="37E0716F">
            <w:pPr>
              <w:spacing w:line="240" w:lineRule="auto"/>
              <w:ind w:firstLine="480"/>
              <w:jc w:val="both"/>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（10）支持心得安试验检查项目服药前、服药后首次检查以及服药后的采集模式。</w:t>
            </w:r>
          </w:p>
          <w:p w14:paraId="280D316B">
            <w:pPr>
              <w:spacing w:line="312" w:lineRule="auto"/>
              <w:jc w:val="left"/>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支持长时间监测，长时间采集，采集时间的自定义设置。</w:t>
            </w:r>
          </w:p>
          <w:p w14:paraId="705559A5">
            <w:pPr>
              <w:spacing w:after="120" w:line="240" w:lineRule="auto"/>
              <w:jc w:val="left"/>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highlight w:val="none"/>
                <w:vertAlign w:val="baseline"/>
                <w:lang w:val="en-US" w:eastAsia="zh-CN"/>
              </w:rPr>
              <w:t>2.诊断工作站：心电报告工作站一般设立在心电中心或心电图室，负责集中处理所有心电病历的报告。具有专业的心电图处理分析功能。功能介绍新病历到达即时提醒功能。当手持式心电检查仪发送新病历时，心电医生工作站自动弹出提示窗口并发出声音。提示医生有新病到达。病历列表。显示所有的心电图病历，按检查时间顺序排列。(1)病历列表中具有患者的状态显示。有未检查、已检查、未报告、已报告、已审核、已发送状态。(2)病历列表处可直接查看选中患者的基本信息与心电图参数。(3)提供丰富的查询功能，患者所有信息都可作为查询条件。(4)支持多条件组合查询。自动诊断功能。强大的心电图分析功能(1)显示同步十二导心电图波形。(2)波形显示具有时间轴，精确定位心拍。(3)自动分析心率、PR间期、电轴等所有心电参数。(4)自动识别心拍。(5)支持高频滤波、低频滤波、工频滤波调整。(6)支持分页显示。(7)波形显示幅值自由调整。(8)心博特征点手动微调功能。使分析结果更加精确。测量值异常显示。(9)波形重叠显示功能，复合波功能，复合波叠加、分散分析功能。(10)具有电子标尺功能，测量幅值与压差，代替圆规直尺的手工测量工具。编写报告功能(1)医生可以自动诊断或手动报告编写心电报告。提供丰富的报告诊断库，避免过多的键盘输入。支持心电图原始数据多次对比功能。模板库为设置开放式，用户可以自由设置负责常用诊断库、自定义诊断库的维护、系统用户与HIS用户的关联，科室等字典表的同步关联。提供心电特殊符号，辅助快速输入。多种报告方式（1）提供多种输出报告格式：横排十二导、竖排十二导、2X6、3X4、3X4+长II导、心电参数表、单独长II导等。支持B5纸输出打印。（2）支持打印预览功能。支持双面打印。（3）支持报告模板内容自定义。图谱对比功能支持心电图原始数据多次对比功能。对比模式下，支持导联电压、走纸速度、显示模式、波形放大、复合波等功能。历史记录功能支持心电图检查历史记录功能，同步显示历史记录下的所有检查记录。导联纠错纠正肢体导联与胸导联接错修复功能。导联修改支持加做导联名称快速修改，支持单个导联名称修改。计费功能持控制漏费功能，分析波形的同时根据与HIS计费功能的集成，方便医生直接在分析波形的同时直接进行计费，省略两套系统的往返切换。病历合并提供病历信息不完善的病历进行合并的功能。波形自动生成心向量报告、高频心电、频谱心电常规心电图数据，根据专业的算法生成心向量波形、高频心电、频谱心电。心电事件记录具有心电事件记录功能，辅助医生记录心电事件，不受文字个数限制。波形颜色自由设置心电图波形采集时的颜色，分析时波形颜色，底纹颜色，可自由设置，防止长时间分析造成的用眼疲劳。漏诊标注对细节波形进行漏诊标注，防止忽略细节引起漏诊。系统危机预警科室传输过来的心电图，系统自动预诊断，根据诊断结果在报告队列排序显示，并以特殊颜色预警。排序依据诊断危急情况依次排列。诊断医师对危急病历优先诊断。病房危急值提醒（1）检查医师危急标记。当对急诊病人快速心电图检查时，标记危急，传输至诊断中心，急诊病历特殊颜色显示，提醒报告医师优先诊断。（2）诊断中心危急值标记。报告医师对心电图诊断完成后，对危急值心电图进行标记，提醒病房进行相关危急处理。诊断分级心电检查数据实行预诊断处理，根据分析结果分为：阳性、阴性、不确定等几个类别。配合系统危机预警机制，提醒诊断医师对报告优先处理。即时消息及视频功能科室医师之间可通过系统即时消息或视频，进行心电图诊断的交流、答疑、教学等。</w:t>
            </w:r>
          </w:p>
        </w:tc>
        <w:tc>
          <w:tcPr>
            <w:tcW w:w="850" w:type="dxa"/>
            <w:vMerge w:val="continue"/>
            <w:tcBorders>
              <w:top w:val="single" w:color="auto" w:sz="4" w:space="0"/>
              <w:left w:val="single" w:color="auto" w:sz="4" w:space="0"/>
              <w:bottom w:val="single" w:color="auto" w:sz="4" w:space="0"/>
              <w:right w:val="single" w:color="auto" w:sz="4" w:space="0"/>
            </w:tcBorders>
          </w:tcPr>
          <w:p w14:paraId="4B06222D">
            <w:pPr>
              <w:spacing w:line="312" w:lineRule="auto"/>
              <w:jc w:val="left"/>
              <w:rPr>
                <w:rFonts w:hint="eastAsia" w:ascii="宋体" w:hAnsi="宋体" w:eastAsia="宋体" w:cs="宋体"/>
                <w:sz w:val="21"/>
                <w:szCs w:val="21"/>
              </w:rPr>
            </w:pPr>
          </w:p>
        </w:tc>
      </w:tr>
      <w:tr w14:paraId="06B40741">
        <w:tblPrEx>
          <w:tblCellMar>
            <w:top w:w="0" w:type="dxa"/>
            <w:left w:w="108" w:type="dxa"/>
            <w:bottom w:w="0" w:type="dxa"/>
            <w:right w:w="108" w:type="dxa"/>
          </w:tblCellMar>
        </w:tblPrEx>
        <w:trPr>
          <w:trHeight w:val="607"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12C18910">
            <w:pPr>
              <w:spacing w:line="312" w:lineRule="auto"/>
              <w:jc w:val="left"/>
              <w:rPr>
                <w:rFonts w:hint="eastAsia" w:ascii="宋体" w:hAnsi="宋体" w:eastAsia="宋体" w:cs="宋体"/>
                <w:sz w:val="21"/>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414958DD">
            <w:pPr>
              <w:spacing w:line="312" w:lineRule="auto"/>
              <w:jc w:val="left"/>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4170CCD">
            <w:pPr>
              <w:spacing w:line="312" w:lineRule="auto"/>
              <w:jc w:val="left"/>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临床采集</w:t>
            </w:r>
          </w:p>
        </w:tc>
        <w:tc>
          <w:tcPr>
            <w:tcW w:w="46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FF9D64">
            <w:pPr>
              <w:spacing w:line="312" w:lineRule="auto"/>
              <w:jc w:val="left"/>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进行院内多个临床科室,多台床边心电图机安装投放，实现患者信息直接下载，无需手动输入，心电图检查数据从临床科室直接传输到心电图室，传输时间只用几秒钟，这种机器具有无线传输技术，心电图长时间采集记录技术，是床边心电图采集，抢救的最佳选择、支持12、15、18导采集。功能说明：适用广泛MECG-300心电图机是一款智能便携式高端心电图机，国际先进的心电图采集技术，非常适合在先进的数字化医院使用。网络化特点鲜明，无论您在医院临床科室、还是远程医疗点、外出检查。任何地点都可以使您获得高品质的心电图信号与诊断，支持WI-FI、4G、LAN传输。</w:t>
            </w:r>
          </w:p>
          <w:p w14:paraId="39F3DD64">
            <w:pPr>
              <w:spacing w:after="120" w:line="240" w:lineRule="auto"/>
              <w:jc w:val="left"/>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highlight w:val="none"/>
                <w:vertAlign w:val="baseline"/>
                <w:lang w:val="en-US" w:eastAsia="zh-CN"/>
              </w:rPr>
              <w:t>专业功能特点：1.采用平板设计，小巧方便，便于携带。2.系统嵌入微软最新Win8系统，开机速度大幅提高。3.屏幕采用最新IPS LCD 显示器, 5点电容多点触控。4.具有Worklist功能的心电图机支持HIS提取患者信息，不用人工录入5.支持多导联心电图采集，12导、15导、18导采集同步心电图采集技术。6.支持多导心电图采集 + 心电向量 + 频谱心电图采集与分析。7.支持12导采集 + V7、V8、V9 + V3R、V4R、V5R二次采集合并同一份报告打印技术。8.支持150分钟连续监测、实时记录心电图数据，针对临床上的各种复杂心律失常具有很大的使用价值。9.支持心电图事件记录。10.支持心电图危急值提醒，危重紧急患者报警。11.测量参数&gt;20种，可以针对心电图数据进行检索统计，如P波宽度，QRS波宽度，T波宽度，PR间期，QT 间期，QTC间期，P波电轴，QRS波电轴，T波电轴，P波形态，P波幅度，T波形态，T波幅度，QRS波形态，QRS波幅度，R波幅度，S波幅度，ST段形态，ST段幅度，RV5，SV1等得出重要的参考数据12.具有导联纠错功能，如果心电图数据因为肢体导联接反或者胸导联接错位置而导致数据不对，无需重新采集病人数据，诊断医生可以直接软件纠正。13.</w:t>
            </w:r>
            <w:r>
              <w:rPr>
                <w:rFonts w:hint="eastAsia" w:ascii="宋体" w:hAnsi="宋体" w:eastAsia="宋体" w:cs="宋体"/>
                <w:sz w:val="21"/>
                <w:szCs w:val="21"/>
              </w:rPr>
              <w:tab/>
            </w:r>
            <w:r>
              <w:rPr>
                <w:rFonts w:hint="eastAsia" w:ascii="宋体" w:hAnsi="宋体" w:eastAsia="宋体" w:cs="宋体"/>
                <w:b w:val="0"/>
                <w:bCs w:val="0"/>
                <w:i w:val="0"/>
                <w:iCs w:val="0"/>
                <w:color w:val="auto"/>
                <w:kern w:val="0"/>
                <w:sz w:val="21"/>
                <w:szCs w:val="21"/>
                <w:highlight w:val="none"/>
                <w:vertAlign w:val="baseline"/>
                <w:lang w:val="en-US" w:eastAsia="zh-CN"/>
              </w:rPr>
              <w:t>患者多次心电图数据同屏幕比较，支持多幅图像对比，单个选中的QRS波群放大对比，12导叠加对比，提供多项专业的测量参数。14.心电图支持20000份病例存储。15.</w:t>
            </w:r>
            <w:r>
              <w:rPr>
                <w:rFonts w:hint="eastAsia" w:ascii="宋体" w:hAnsi="宋体" w:eastAsia="宋体" w:cs="宋体"/>
                <w:sz w:val="21"/>
                <w:szCs w:val="21"/>
              </w:rPr>
              <w:tab/>
            </w:r>
            <w:r>
              <w:rPr>
                <w:rFonts w:hint="eastAsia" w:ascii="宋体" w:hAnsi="宋体" w:eastAsia="宋体" w:cs="宋体"/>
                <w:b w:val="0"/>
                <w:bCs w:val="0"/>
                <w:i w:val="0"/>
                <w:iCs w:val="0"/>
                <w:color w:val="auto"/>
                <w:kern w:val="0"/>
                <w:sz w:val="21"/>
                <w:szCs w:val="21"/>
                <w:highlight w:val="none"/>
                <w:vertAlign w:val="baseline"/>
                <w:lang w:val="en-US" w:eastAsia="zh-CN"/>
              </w:rPr>
              <w:t>可以统计，支持病种、诊断、测量参数统计，支持检查医生、操作医生、申请医生等数据统计，支持Excel表格输出打印。16.MECG-20心电图机支持美国的FDA-XML、欧洲SCP-ECG等国际标准数据格式存储数据，支持的PDF图像输出。17.支持远程获取诊断报告。18.多种网络连接选择：包括标准以太网LAN、WiFi、蓝牙、3G等多种技术传输方式，是心电图随处采集的理想选择。19.多种接口：是医院信息化时代医生的理想助手，具有一维、二维条形码扫描、射频卡读卡器、磁卡读卡器、IC卡读卡器，支持腕带扫描。20.多种的传输方式：针对心电图机只能传送纸张报告而言，MECG-200手持心电的传输是质的飞跃，它可以通过电话、无线、互联网、连接线等多种方式心电图数字花的传输，并且这些传输全部是数字传输，波形信号没有任何损失。适合于科室内检查、院内检查、出诊、会诊等多种情况下使用。</w:t>
            </w:r>
          </w:p>
        </w:tc>
        <w:tc>
          <w:tcPr>
            <w:tcW w:w="850" w:type="dxa"/>
            <w:vMerge w:val="continue"/>
            <w:tcBorders>
              <w:top w:val="single" w:color="auto" w:sz="4" w:space="0"/>
              <w:left w:val="single" w:color="auto" w:sz="4" w:space="0"/>
              <w:bottom w:val="single" w:color="auto" w:sz="4" w:space="0"/>
              <w:right w:val="single" w:color="auto" w:sz="4" w:space="0"/>
            </w:tcBorders>
          </w:tcPr>
          <w:p w14:paraId="170B2EE9">
            <w:pPr>
              <w:spacing w:line="312" w:lineRule="auto"/>
              <w:jc w:val="left"/>
              <w:rPr>
                <w:rFonts w:hint="eastAsia" w:ascii="宋体" w:hAnsi="宋体" w:eastAsia="宋体" w:cs="宋体"/>
                <w:sz w:val="21"/>
                <w:szCs w:val="21"/>
              </w:rPr>
            </w:pPr>
          </w:p>
        </w:tc>
      </w:tr>
      <w:tr w14:paraId="157AA87F">
        <w:tblPrEx>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2819C116">
            <w:pPr>
              <w:spacing w:line="312" w:lineRule="auto"/>
              <w:jc w:val="left"/>
              <w:rPr>
                <w:rFonts w:hint="eastAsia" w:ascii="宋体" w:hAnsi="宋体" w:eastAsia="宋体" w:cs="宋体"/>
                <w:sz w:val="21"/>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24DDFD60">
            <w:pPr>
              <w:spacing w:line="312" w:lineRule="auto"/>
              <w:jc w:val="left"/>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B58D43">
            <w:pPr>
              <w:spacing w:line="312" w:lineRule="auto"/>
              <w:jc w:val="left"/>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第三方数据上传</w:t>
            </w:r>
          </w:p>
        </w:tc>
        <w:tc>
          <w:tcPr>
            <w:tcW w:w="46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1A65DA0">
            <w:pPr>
              <w:spacing w:line="312" w:lineRule="auto"/>
              <w:jc w:val="left"/>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highlight w:val="none"/>
                <w:vertAlign w:val="baseline"/>
                <w:lang w:val="en-US" w:eastAsia="zh-CN"/>
              </w:rPr>
              <w:t>通过虚拟打印机产生pdf，厂家监控程序监控到文件后，弹出提示，通过获取申请单信息匹配医嘱给该文件上传his、集成平台等。</w:t>
            </w:r>
          </w:p>
        </w:tc>
        <w:tc>
          <w:tcPr>
            <w:tcW w:w="850" w:type="dxa"/>
            <w:vMerge w:val="continue"/>
            <w:tcBorders>
              <w:top w:val="single" w:color="auto" w:sz="4" w:space="0"/>
              <w:left w:val="single" w:color="auto" w:sz="4" w:space="0"/>
              <w:bottom w:val="single" w:color="auto" w:sz="4" w:space="0"/>
              <w:right w:val="single" w:color="auto" w:sz="4" w:space="0"/>
            </w:tcBorders>
          </w:tcPr>
          <w:p w14:paraId="56159043">
            <w:pPr>
              <w:spacing w:line="312" w:lineRule="auto"/>
              <w:jc w:val="left"/>
              <w:rPr>
                <w:rFonts w:hint="eastAsia" w:ascii="宋体" w:hAnsi="宋体" w:eastAsia="宋体" w:cs="宋体"/>
                <w:sz w:val="21"/>
                <w:szCs w:val="21"/>
              </w:rPr>
            </w:pPr>
          </w:p>
        </w:tc>
      </w:tr>
    </w:tbl>
    <w:p w14:paraId="303DADD5">
      <w:pPr>
        <w:pStyle w:val="3"/>
        <w:pageBreakBefore w:val="0"/>
        <w:widowControl w:val="0"/>
        <w:kinsoku/>
        <w:wordWrap/>
        <w:overflowPunct/>
        <w:topLinePunct w:val="0"/>
        <w:autoSpaceDE/>
        <w:autoSpaceDN/>
        <w:bidi w:val="0"/>
        <w:adjustRightInd/>
        <w:snapToGrid/>
        <w:spacing w:after="0" w:line="312" w:lineRule="auto"/>
        <w:textAlignment w:val="auto"/>
        <w:rPr>
          <w:lang w:val="en-US"/>
        </w:rPr>
      </w:pPr>
    </w:p>
    <w:p w14:paraId="265A8BA6">
      <w:pPr>
        <w:pStyle w:val="3"/>
        <w:pageBreakBefore w:val="0"/>
        <w:widowControl w:val="0"/>
        <w:kinsoku/>
        <w:wordWrap/>
        <w:overflowPunct/>
        <w:topLinePunct w:val="0"/>
        <w:autoSpaceDE/>
        <w:autoSpaceDN/>
        <w:bidi w:val="0"/>
        <w:adjustRightInd/>
        <w:snapToGrid/>
        <w:spacing w:after="0" w:line="312" w:lineRule="auto"/>
        <w:textAlignment w:val="auto"/>
        <w:rPr>
          <w:rFonts w:ascii="宋体" w:hAnsi="宋体" w:eastAsia="宋体" w:cs="宋体"/>
          <w:b/>
          <w:bCs/>
          <w:color w:val="auto"/>
          <w:sz w:val="28"/>
          <w:lang w:val="en-US"/>
        </w:rPr>
      </w:pPr>
      <w:r>
        <w:rPr>
          <w:rFonts w:hint="eastAsia" w:ascii="宋体" w:hAnsi="宋体" w:eastAsia="宋体" w:cs="宋体"/>
          <w:b/>
          <w:bCs/>
          <w:color w:val="auto"/>
          <w:sz w:val="28"/>
          <w:lang w:val="en-US"/>
        </w:rPr>
        <w:t>三、对接口及系统改造的要求</w:t>
      </w:r>
    </w:p>
    <w:p w14:paraId="619941DB">
      <w:pPr>
        <w:pageBreakBefore w:val="0"/>
        <w:widowControl w:val="0"/>
        <w:kinsoku/>
        <w:wordWrap/>
        <w:overflowPunct/>
        <w:topLinePunct w:val="0"/>
        <w:autoSpaceDE/>
        <w:autoSpaceDN/>
        <w:bidi w:val="0"/>
        <w:adjustRightInd/>
        <w:snapToGrid/>
        <w:spacing w:line="312"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ab/>
      </w:r>
      <w:r>
        <w:rPr>
          <w:rFonts w:hint="eastAsia" w:ascii="宋体" w:hAnsi="宋体" w:eastAsia="宋体" w:cs="宋体"/>
          <w:b/>
          <w:bCs/>
          <w:color w:val="auto"/>
          <w:sz w:val="24"/>
          <w:szCs w:val="24"/>
          <w:lang w:eastAsia="zh-CN"/>
        </w:rPr>
        <w:t>质</w:t>
      </w:r>
      <w:r>
        <w:rPr>
          <w:rFonts w:hint="eastAsia" w:ascii="宋体" w:hAnsi="宋体" w:eastAsia="宋体" w:cs="宋体"/>
          <w:b/>
          <w:bCs/>
          <w:color w:val="auto"/>
          <w:sz w:val="24"/>
          <w:szCs w:val="24"/>
        </w:rPr>
        <w:t>保期和</w:t>
      </w:r>
      <w:r>
        <w:rPr>
          <w:rFonts w:hint="eastAsia" w:ascii="宋体" w:hAnsi="宋体" w:eastAsia="宋体" w:cs="宋体"/>
          <w:b/>
          <w:bCs/>
          <w:color w:val="auto"/>
          <w:sz w:val="24"/>
          <w:szCs w:val="24"/>
          <w:lang w:eastAsia="zh-CN"/>
        </w:rPr>
        <w:t>维</w:t>
      </w:r>
      <w:r>
        <w:rPr>
          <w:rFonts w:hint="eastAsia" w:ascii="宋体" w:hAnsi="宋体" w:eastAsia="宋体" w:cs="宋体"/>
          <w:b/>
          <w:bCs/>
          <w:color w:val="auto"/>
          <w:sz w:val="24"/>
          <w:szCs w:val="24"/>
        </w:rPr>
        <w:t>保期内免费实现以下要求：</w:t>
      </w:r>
    </w:p>
    <w:p w14:paraId="4ED6C16D">
      <w:pPr>
        <w:pStyle w:val="3"/>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3.1提供全面的接口技术，与第三方系统共享数据和功能，这些接口技术包括中间件技术接口、WEBSEVICE通用接口、数据库级接口、文件文本接口等。</w:t>
      </w:r>
    </w:p>
    <w:p w14:paraId="36F3738C">
      <w:pPr>
        <w:pStyle w:val="3"/>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3.2提供与医院第三方系统统一接口的维护与管理，与HIS、电子病历、LIS、PACS、</w:t>
      </w:r>
      <w:r>
        <w:rPr>
          <w:rFonts w:hint="eastAsia" w:ascii="宋体" w:hAnsi="宋体" w:cs="宋体"/>
          <w:color w:val="auto"/>
          <w:sz w:val="24"/>
          <w:lang w:val="en-US" w:eastAsia="zh-CN"/>
        </w:rPr>
        <w:t>门诊叫号系统</w:t>
      </w:r>
      <w:r>
        <w:rPr>
          <w:rFonts w:hint="eastAsia" w:ascii="宋体" w:hAnsi="宋体" w:eastAsia="宋体" w:cs="宋体"/>
          <w:color w:val="auto"/>
          <w:sz w:val="24"/>
          <w:lang w:val="en-US"/>
        </w:rPr>
        <w:t>、体检系统、集成平台、</w:t>
      </w:r>
      <w:r>
        <w:rPr>
          <w:rFonts w:hint="eastAsia" w:ascii="宋体" w:hAnsi="宋体" w:eastAsia="宋体" w:cs="宋体"/>
          <w:color w:val="auto"/>
          <w:sz w:val="24"/>
          <w:lang w:val="en-US" w:eastAsia="zh-CN"/>
        </w:rPr>
        <w:t>智慧运营平台、</w:t>
      </w:r>
      <w:r>
        <w:rPr>
          <w:rFonts w:hint="eastAsia" w:ascii="宋体" w:hAnsi="宋体" w:eastAsia="宋体" w:cs="宋体"/>
          <w:color w:val="auto"/>
          <w:sz w:val="24"/>
          <w:lang w:val="en-US"/>
        </w:rPr>
        <w:t>成本管理系统、排班系统、</w:t>
      </w:r>
      <w:r>
        <w:rPr>
          <w:rFonts w:hint="eastAsia" w:ascii="宋体" w:hAnsi="宋体" w:eastAsia="宋体" w:cs="宋体"/>
          <w:color w:val="auto"/>
          <w:sz w:val="24"/>
          <w:lang w:val="en-US" w:eastAsia="zh-CN"/>
        </w:rPr>
        <w:t>人力资源</w:t>
      </w:r>
      <w:r>
        <w:rPr>
          <w:rFonts w:hint="eastAsia" w:ascii="宋体" w:hAnsi="宋体" w:eastAsia="宋体" w:cs="宋体"/>
          <w:color w:val="auto"/>
          <w:sz w:val="24"/>
          <w:lang w:val="en-US"/>
        </w:rPr>
        <w:t>管理系统、财务管理系统、互联网医院、OA</w:t>
      </w:r>
      <w:r>
        <w:rPr>
          <w:rFonts w:hint="eastAsia" w:ascii="宋体" w:hAnsi="宋体" w:eastAsia="宋体" w:cs="宋体"/>
          <w:color w:val="auto"/>
          <w:sz w:val="24"/>
          <w:lang w:val="en-US" w:eastAsia="zh-CN"/>
        </w:rPr>
        <w:t>平台</w:t>
      </w:r>
      <w:r>
        <w:rPr>
          <w:rFonts w:hint="eastAsia" w:ascii="宋体" w:hAnsi="宋体" w:eastAsia="宋体" w:cs="宋体"/>
          <w:color w:val="auto"/>
          <w:sz w:val="24"/>
          <w:lang w:val="en-US"/>
        </w:rPr>
        <w:t>、自助服务平台、DRG管理、绩效管理、电子发票、短信平台、财务电子档案等其他所有医院相关业务系统（包括以上医院系统但不仅限于以上系统）进行免费接口对接，实现数据交换。</w:t>
      </w:r>
    </w:p>
    <w:p w14:paraId="36304455">
      <w:pPr>
        <w:pStyle w:val="3"/>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3.3满足医院电子病历系统功能应用水平分级评价达到</w:t>
      </w:r>
      <w:r>
        <w:rPr>
          <w:rFonts w:hint="eastAsia" w:ascii="宋体" w:hAnsi="宋体" w:cs="宋体"/>
          <w:color w:val="auto"/>
          <w:sz w:val="24"/>
          <w:lang w:val="en-US" w:eastAsia="zh-CN"/>
        </w:rPr>
        <w:t>六</w:t>
      </w:r>
      <w:r>
        <w:rPr>
          <w:rFonts w:hint="eastAsia" w:ascii="宋体" w:hAnsi="宋体" w:eastAsia="宋体" w:cs="宋体"/>
          <w:color w:val="auto"/>
          <w:sz w:val="24"/>
          <w:lang w:val="en-US"/>
        </w:rPr>
        <w:t>级以上评审、医院信息互联互通标准化成熟度测评达到</w:t>
      </w:r>
      <w:r>
        <w:rPr>
          <w:rFonts w:hint="eastAsia" w:ascii="宋体" w:hAnsi="宋体" w:eastAsia="宋体" w:cs="宋体"/>
          <w:color w:val="auto"/>
          <w:sz w:val="24"/>
          <w:lang w:val="en-US" w:eastAsia="zh-CN"/>
        </w:rPr>
        <w:t>五</w:t>
      </w:r>
      <w:r>
        <w:rPr>
          <w:rFonts w:hint="eastAsia" w:ascii="宋体" w:hAnsi="宋体" w:eastAsia="宋体" w:cs="宋体"/>
          <w:color w:val="auto"/>
          <w:sz w:val="24"/>
          <w:lang w:val="en-US"/>
        </w:rPr>
        <w:t>级</w:t>
      </w:r>
      <w:r>
        <w:rPr>
          <w:rFonts w:hint="eastAsia" w:ascii="宋体" w:hAnsi="宋体" w:eastAsia="宋体" w:cs="宋体"/>
          <w:color w:val="auto"/>
          <w:sz w:val="24"/>
          <w:lang w:val="en-US" w:eastAsia="zh-CN"/>
        </w:rPr>
        <w:t>乙</w:t>
      </w:r>
      <w:r>
        <w:rPr>
          <w:rFonts w:hint="eastAsia" w:ascii="宋体" w:hAnsi="宋体" w:eastAsia="宋体" w:cs="宋体"/>
          <w:color w:val="auto"/>
          <w:sz w:val="24"/>
          <w:lang w:val="en-US"/>
        </w:rPr>
        <w:t>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14:paraId="3F016B44">
      <w:pPr>
        <w:pStyle w:val="10"/>
        <w:spacing w:line="360" w:lineRule="auto"/>
        <w:ind w:firstLine="480"/>
        <w:rPr>
          <w:rFonts w:ascii="宋体" w:hAnsi="宋体" w:eastAsia="宋体"/>
          <w:sz w:val="24"/>
          <w:szCs w:val="24"/>
        </w:rPr>
      </w:pPr>
      <w:r>
        <w:rPr>
          <w:rFonts w:ascii="宋体" w:hAnsi="宋体" w:eastAsia="宋体"/>
          <w:sz w:val="24"/>
          <w:szCs w:val="24"/>
        </w:rPr>
        <w:t>3.4提供软件免费升级及个性化修改服务，免费实现院方的个性化需求；软件自身错误类问题提供永久性免费修改服务；</w:t>
      </w:r>
    </w:p>
    <w:p w14:paraId="347CEB2F">
      <w:pPr>
        <w:pStyle w:val="10"/>
        <w:spacing w:line="360" w:lineRule="auto"/>
        <w:ind w:firstLine="480"/>
        <w:rPr>
          <w:rFonts w:ascii="宋体" w:hAnsi="宋体" w:eastAsia="宋体"/>
          <w:sz w:val="24"/>
          <w:szCs w:val="24"/>
        </w:rPr>
      </w:pPr>
      <w:r>
        <w:rPr>
          <w:rFonts w:ascii="宋体" w:hAnsi="宋体" w:eastAsia="宋体"/>
          <w:sz w:val="24"/>
          <w:szCs w:val="24"/>
        </w:rPr>
        <w:t>3.5免费提供医院新增业务信息系统的对接、免费实现医院上级管理部门要求的系统接口对接要求。</w:t>
      </w:r>
    </w:p>
    <w:p w14:paraId="37572C50">
      <w:pPr>
        <w:pStyle w:val="10"/>
        <w:spacing w:line="360" w:lineRule="auto"/>
        <w:ind w:firstLine="480"/>
        <w:rPr>
          <w:rFonts w:ascii="宋体" w:hAnsi="宋体" w:eastAsia="宋体"/>
          <w:sz w:val="24"/>
          <w:szCs w:val="24"/>
        </w:rPr>
      </w:pPr>
      <w:r>
        <w:rPr>
          <w:rFonts w:hint="eastAsia" w:ascii="宋体" w:hAnsi="宋体" w:eastAsia="宋体"/>
          <w:sz w:val="24"/>
          <w:szCs w:val="24"/>
        </w:rPr>
        <w:t>3.6若医院更换已对接的业务系统、乙方须免费提供与新业务系统的对接及联调服务。</w:t>
      </w:r>
    </w:p>
    <w:p w14:paraId="264BC26B">
      <w:pPr>
        <w:pStyle w:val="10"/>
        <w:spacing w:line="360" w:lineRule="auto"/>
        <w:ind w:firstLine="48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7</w:t>
      </w:r>
      <w:r>
        <w:rPr>
          <w:rFonts w:ascii="宋体" w:hAnsi="宋体" w:eastAsia="宋体"/>
          <w:sz w:val="24"/>
          <w:szCs w:val="24"/>
        </w:rPr>
        <w:t>项目不限定用户数、并发数、不限定医疗集团内部及院区使用。</w:t>
      </w:r>
    </w:p>
    <w:p w14:paraId="609CE796">
      <w:pPr>
        <w:pStyle w:val="2"/>
        <w:pageBreakBefore w:val="0"/>
        <w:widowControl w:val="0"/>
        <w:numPr>
          <w:ilvl w:val="0"/>
          <w:numId w:val="0"/>
        </w:numPr>
        <w:kinsoku/>
        <w:wordWrap/>
        <w:overflowPunct/>
        <w:topLinePunct w:val="0"/>
        <w:autoSpaceDE/>
        <w:autoSpaceDN/>
        <w:bidi w:val="0"/>
        <w:adjustRightInd/>
        <w:snapToGrid/>
        <w:spacing w:before="0" w:after="0" w:line="312" w:lineRule="auto"/>
        <w:textAlignment w:val="auto"/>
        <w:rPr>
          <w:rFonts w:ascii="宋体" w:hAnsi="宋体"/>
          <w:bCs w:val="0"/>
          <w:sz w:val="28"/>
          <w:szCs w:val="28"/>
        </w:rPr>
      </w:pPr>
      <w:r>
        <w:rPr>
          <w:rFonts w:hint="eastAsia" w:ascii="宋体" w:hAnsi="宋体"/>
          <w:bCs w:val="0"/>
          <w:sz w:val="28"/>
          <w:szCs w:val="28"/>
        </w:rPr>
        <w:t>四、项目实施要求</w:t>
      </w:r>
    </w:p>
    <w:p w14:paraId="533B51C2">
      <w:pPr>
        <w:pStyle w:val="3"/>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rPr>
        <w:t>4.1驻场、实施工期要求：合同签订后，7个工作日内项目实施人员必须进场</w:t>
      </w:r>
      <w:r>
        <w:rPr>
          <w:rFonts w:hint="eastAsia" w:ascii="宋体" w:hAnsi="宋体" w:eastAsia="宋体" w:cs="宋体"/>
          <w:color w:val="auto"/>
          <w:sz w:val="24"/>
          <w:lang w:val="en-US" w:eastAsia="zh-CN"/>
        </w:rPr>
        <w:t>，系统需在</w:t>
      </w:r>
      <w:r>
        <w:rPr>
          <w:rFonts w:hint="default" w:ascii="宋体" w:hAnsi="宋体" w:eastAsia="宋体" w:cs="宋体"/>
          <w:color w:val="auto"/>
          <w:sz w:val="24"/>
          <w:lang w:val="en-US" w:eastAsia="zh-CN"/>
        </w:rPr>
        <w:t>3</w:t>
      </w:r>
      <w:r>
        <w:rPr>
          <w:rFonts w:hint="eastAsia" w:ascii="宋体" w:hAnsi="宋体" w:eastAsia="宋体" w:cs="宋体"/>
          <w:color w:val="auto"/>
          <w:sz w:val="24"/>
          <w:lang w:val="en-US"/>
        </w:rPr>
        <w:t>个月内完成项目实施上线</w:t>
      </w:r>
      <w:r>
        <w:rPr>
          <w:rFonts w:hint="eastAsia" w:ascii="宋体" w:hAnsi="宋体" w:eastAsia="宋体" w:cs="宋体"/>
          <w:color w:val="auto"/>
          <w:sz w:val="24"/>
          <w:lang w:val="en-US" w:eastAsia="zh-CN"/>
        </w:rPr>
        <w:t>，请分别列出每个系统实施的工作计划及周期</w:t>
      </w:r>
      <w:r>
        <w:rPr>
          <w:rFonts w:hint="eastAsia" w:ascii="宋体" w:hAnsi="宋体" w:eastAsia="宋体" w:cs="宋体"/>
          <w:color w:val="auto"/>
          <w:sz w:val="24"/>
          <w:lang w:val="en-US"/>
        </w:rPr>
        <w:t>。</w:t>
      </w:r>
    </w:p>
    <w:p w14:paraId="4DA98833">
      <w:pPr>
        <w:pStyle w:val="3"/>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rPr>
        <w:t>4.2</w:t>
      </w:r>
      <w:r>
        <w:rPr>
          <w:rFonts w:hint="eastAsia" w:ascii="宋体" w:hAnsi="宋体" w:eastAsia="宋体" w:cs="宋体"/>
          <w:color w:val="auto"/>
          <w:sz w:val="24"/>
          <w:lang w:val="en-US" w:eastAsia="zh-CN"/>
        </w:rPr>
        <w:t>实施</w:t>
      </w:r>
      <w:r>
        <w:rPr>
          <w:rFonts w:hint="eastAsia" w:ascii="宋体" w:hAnsi="宋体" w:eastAsia="宋体" w:cs="宋体"/>
          <w:color w:val="auto"/>
          <w:sz w:val="24"/>
          <w:lang w:val="en-US"/>
        </w:rPr>
        <w:t>人员要求：</w:t>
      </w:r>
    </w:p>
    <w:p w14:paraId="15BBAA6F">
      <w:pPr>
        <w:pStyle w:val="3"/>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实施工程师：</w:t>
      </w:r>
      <w:r>
        <w:rPr>
          <w:rFonts w:hint="eastAsia" w:ascii="宋体" w:hAnsi="宋体" w:eastAsia="宋体" w:cs="宋体"/>
          <w:color w:val="auto"/>
          <w:sz w:val="24"/>
          <w:lang w:val="en-US"/>
        </w:rPr>
        <w:t>项目实施</w:t>
      </w:r>
      <w:r>
        <w:rPr>
          <w:rFonts w:hint="eastAsia" w:ascii="宋体" w:hAnsi="宋体" w:eastAsia="宋体" w:cs="宋体"/>
          <w:color w:val="auto"/>
          <w:sz w:val="24"/>
          <w:lang w:val="en-US" w:eastAsia="zh-CN"/>
        </w:rPr>
        <w:t>工程师</w:t>
      </w:r>
      <w:r>
        <w:rPr>
          <w:rFonts w:hint="eastAsia" w:ascii="宋体" w:hAnsi="宋体" w:eastAsia="宋体" w:cs="宋体"/>
          <w:color w:val="auto"/>
          <w:sz w:val="24"/>
          <w:lang w:val="en-US"/>
        </w:rPr>
        <w:t>需有2年以上</w:t>
      </w:r>
      <w:r>
        <w:rPr>
          <w:rFonts w:hint="eastAsia" w:ascii="宋体" w:hAnsi="宋体" w:eastAsia="宋体" w:cs="宋体"/>
          <w:color w:val="auto"/>
          <w:sz w:val="24"/>
          <w:lang w:val="en-US" w:eastAsia="zh-CN"/>
        </w:rPr>
        <w:t>本厂商</w:t>
      </w:r>
      <w:r>
        <w:rPr>
          <w:rFonts w:hint="eastAsia" w:ascii="宋体" w:hAnsi="宋体" w:eastAsia="宋体" w:cs="宋体"/>
          <w:color w:val="auto"/>
          <w:sz w:val="24"/>
          <w:lang w:val="en-US"/>
        </w:rPr>
        <w:t>同等项目实施经验</w:t>
      </w:r>
    </w:p>
    <w:p w14:paraId="272BB350">
      <w:pPr>
        <w:pStyle w:val="3"/>
        <w:pageBreakBefore w:val="0"/>
        <w:widowControl w:val="0"/>
        <w:kinsoku/>
        <w:wordWrap/>
        <w:overflowPunct/>
        <w:topLinePunct w:val="0"/>
        <w:autoSpaceDE/>
        <w:autoSpaceDN/>
        <w:bidi w:val="0"/>
        <w:adjustRightInd/>
        <w:snapToGrid/>
        <w:spacing w:after="0" w:line="312" w:lineRule="auto"/>
        <w:ind w:firstLine="42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开发工程师：</w:t>
      </w:r>
      <w:r>
        <w:rPr>
          <w:rFonts w:hint="eastAsia" w:ascii="宋体" w:hAnsi="宋体" w:eastAsia="宋体" w:cs="宋体"/>
          <w:color w:val="auto"/>
          <w:sz w:val="24"/>
          <w:lang w:val="en-US"/>
        </w:rPr>
        <w:t>项目开发工程师需有</w:t>
      </w:r>
      <w:r>
        <w:rPr>
          <w:rFonts w:hint="eastAsia" w:ascii="宋体" w:hAnsi="宋体" w:eastAsia="宋体" w:cs="宋体"/>
          <w:color w:val="auto"/>
          <w:sz w:val="24"/>
          <w:lang w:val="en-US" w:eastAsia="zh-CN"/>
        </w:rPr>
        <w:t>2</w:t>
      </w:r>
      <w:r>
        <w:rPr>
          <w:rFonts w:hint="eastAsia" w:ascii="宋体" w:hAnsi="宋体" w:eastAsia="宋体" w:cs="宋体"/>
          <w:color w:val="auto"/>
          <w:sz w:val="24"/>
          <w:lang w:val="en-US"/>
        </w:rPr>
        <w:t>年以上</w:t>
      </w:r>
      <w:r>
        <w:rPr>
          <w:rFonts w:hint="eastAsia" w:ascii="宋体" w:hAnsi="宋体" w:eastAsia="宋体" w:cs="宋体"/>
          <w:color w:val="auto"/>
          <w:sz w:val="24"/>
          <w:lang w:val="en-US" w:eastAsia="zh-CN"/>
        </w:rPr>
        <w:t>本厂商</w:t>
      </w:r>
      <w:r>
        <w:rPr>
          <w:rFonts w:hint="eastAsia" w:ascii="宋体" w:hAnsi="宋体" w:eastAsia="宋体" w:cs="宋体"/>
          <w:color w:val="auto"/>
          <w:sz w:val="24"/>
          <w:lang w:val="en-US"/>
        </w:rPr>
        <w:t>同类型项目开发经验</w:t>
      </w:r>
      <w:r>
        <w:rPr>
          <w:rFonts w:hint="eastAsia" w:ascii="宋体" w:hAnsi="宋体" w:eastAsia="宋体" w:cs="宋体"/>
          <w:color w:val="auto"/>
          <w:sz w:val="24"/>
          <w:lang w:val="en-US" w:eastAsia="zh-CN"/>
        </w:rPr>
        <w:t>。</w:t>
      </w:r>
    </w:p>
    <w:p w14:paraId="143372B1">
      <w:pPr>
        <w:pStyle w:val="3"/>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rPr>
        <w:t>如需更换</w:t>
      </w:r>
      <w:r>
        <w:rPr>
          <w:rFonts w:hint="eastAsia" w:ascii="宋体" w:hAnsi="宋体" w:eastAsia="宋体" w:cs="宋体"/>
          <w:color w:val="auto"/>
          <w:sz w:val="24"/>
          <w:lang w:val="en-US" w:eastAsia="zh-CN"/>
        </w:rPr>
        <w:t>开发工程师、实施工程师</w:t>
      </w:r>
      <w:r>
        <w:rPr>
          <w:rFonts w:hint="eastAsia" w:ascii="宋体" w:hAnsi="宋体" w:eastAsia="宋体" w:cs="宋体"/>
          <w:color w:val="auto"/>
          <w:sz w:val="24"/>
          <w:lang w:val="en-US"/>
        </w:rPr>
        <w:t>，</w:t>
      </w:r>
      <w:r>
        <w:rPr>
          <w:rFonts w:hint="eastAsia" w:ascii="宋体" w:hAnsi="宋体" w:eastAsia="宋体" w:cs="宋体"/>
          <w:color w:val="auto"/>
          <w:sz w:val="24"/>
          <w:lang w:val="en-US" w:eastAsia="zh-CN"/>
        </w:rPr>
        <w:t>厂商</w:t>
      </w:r>
      <w:r>
        <w:rPr>
          <w:rFonts w:hint="eastAsia" w:ascii="宋体" w:hAnsi="宋体" w:eastAsia="宋体" w:cs="宋体"/>
          <w:color w:val="auto"/>
          <w:sz w:val="24"/>
          <w:lang w:val="en-US"/>
        </w:rPr>
        <w:t>需提交书面申请，经院方同意才可更换。</w:t>
      </w:r>
    </w:p>
    <w:p w14:paraId="612226C9">
      <w:pPr>
        <w:pStyle w:val="3"/>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lang w:val="en-US" w:eastAsia="zh-CN"/>
        </w:rPr>
        <w:t>竞标文件中需提供软件提供商项目驻场人员清单（含项目开发和项目实施人员），清单中标明驻场人员详细信息，如姓名、联系方式、技术职称、社保证明（不少于半年）等。</w:t>
      </w:r>
    </w:p>
    <w:p w14:paraId="54981419">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培训要求：</w:t>
      </w:r>
    </w:p>
    <w:p w14:paraId="27071E24">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lang w:val="en-US"/>
        </w:rPr>
      </w:pPr>
      <w:r>
        <w:rPr>
          <w:rFonts w:hint="eastAsia" w:ascii="宋体" w:hAnsi="宋体" w:eastAsia="宋体" w:cs="宋体"/>
          <w:color w:val="auto"/>
          <w:sz w:val="24"/>
          <w:szCs w:val="24"/>
          <w:lang w:val="en-US" w:eastAsia="zh-CN"/>
        </w:rPr>
        <w:t>培训应至少包括但不限于：软硬件系统的安装、部署、维护方法、系统的功能使用培训；</w:t>
      </w:r>
    </w:p>
    <w:p w14:paraId="0235D6A1">
      <w:pPr>
        <w:pStyle w:val="2"/>
        <w:pageBreakBefore w:val="0"/>
        <w:widowControl w:val="0"/>
        <w:numPr>
          <w:ilvl w:val="0"/>
          <w:numId w:val="0"/>
        </w:numPr>
        <w:kinsoku/>
        <w:wordWrap/>
        <w:overflowPunct/>
        <w:topLinePunct w:val="0"/>
        <w:autoSpaceDE/>
        <w:autoSpaceDN/>
        <w:bidi w:val="0"/>
        <w:adjustRightInd/>
        <w:snapToGrid/>
        <w:spacing w:before="0" w:after="0" w:line="312" w:lineRule="auto"/>
        <w:textAlignment w:val="auto"/>
        <w:rPr>
          <w:rFonts w:ascii="宋体" w:hAnsi="宋体"/>
          <w:bCs w:val="0"/>
          <w:sz w:val="28"/>
          <w:szCs w:val="28"/>
        </w:rPr>
      </w:pPr>
      <w:r>
        <w:rPr>
          <w:rFonts w:hint="eastAsia" w:ascii="宋体" w:hAnsi="宋体"/>
          <w:bCs w:val="0"/>
          <w:sz w:val="28"/>
          <w:szCs w:val="28"/>
        </w:rPr>
        <w:t>五、</w:t>
      </w:r>
      <w:r>
        <w:rPr>
          <w:rFonts w:hint="eastAsia" w:ascii="宋体" w:hAnsi="宋体"/>
          <w:bCs w:val="0"/>
          <w:sz w:val="28"/>
          <w:szCs w:val="28"/>
          <w:lang w:eastAsia="zh-CN"/>
        </w:rPr>
        <w:t>售后</w:t>
      </w:r>
      <w:r>
        <w:rPr>
          <w:rFonts w:hint="eastAsia" w:ascii="宋体" w:hAnsi="宋体"/>
          <w:bCs w:val="0"/>
          <w:sz w:val="28"/>
          <w:szCs w:val="28"/>
        </w:rPr>
        <w:t>服务及其他要求</w:t>
      </w:r>
    </w:p>
    <w:p w14:paraId="0B6ED2FB">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sz w:val="24"/>
          <w:szCs w:val="24"/>
        </w:rPr>
      </w:pPr>
      <w:r>
        <w:rPr>
          <w:rFonts w:hint="eastAsia" w:ascii="宋体" w:hAnsi="宋体" w:cs="宋体"/>
          <w:sz w:val="24"/>
          <w:szCs w:val="24"/>
        </w:rPr>
        <w:t>5.1自本项目整体最终验收之日起，所有产品要求提供</w:t>
      </w:r>
      <w:r>
        <w:rPr>
          <w:rFonts w:hint="eastAsia" w:ascii="宋体" w:hAnsi="宋体" w:cs="宋体"/>
          <w:sz w:val="24"/>
          <w:szCs w:val="24"/>
          <w:lang w:eastAsia="zh-CN"/>
        </w:rPr>
        <w:t>一年</w:t>
      </w:r>
      <w:r>
        <w:rPr>
          <w:rFonts w:hint="eastAsia" w:ascii="宋体" w:hAnsi="宋体" w:cs="宋体"/>
          <w:sz w:val="24"/>
          <w:szCs w:val="24"/>
        </w:rPr>
        <w:t>的免费</w:t>
      </w:r>
      <w:r>
        <w:rPr>
          <w:rFonts w:hint="eastAsia" w:ascii="宋体" w:hAnsi="宋体" w:cs="宋体"/>
          <w:sz w:val="24"/>
          <w:szCs w:val="24"/>
          <w:lang w:eastAsia="zh-CN"/>
        </w:rPr>
        <w:t>质</w:t>
      </w:r>
      <w:r>
        <w:rPr>
          <w:rFonts w:hint="eastAsia" w:ascii="宋体" w:hAnsi="宋体" w:cs="宋体"/>
          <w:sz w:val="24"/>
          <w:szCs w:val="24"/>
        </w:rPr>
        <w:t>保服务。含软硬件维护和系统软件升级</w:t>
      </w:r>
      <w:r>
        <w:rPr>
          <w:rFonts w:hint="eastAsia" w:ascii="宋体" w:hAnsi="宋体" w:cs="宋体"/>
          <w:sz w:val="24"/>
          <w:szCs w:val="24"/>
          <w:lang w:eastAsia="zh-CN"/>
        </w:rPr>
        <w:t>、系统</w:t>
      </w:r>
      <w:r>
        <w:rPr>
          <w:rFonts w:hint="eastAsia" w:ascii="宋体" w:hAnsi="宋体" w:cs="宋体"/>
          <w:sz w:val="24"/>
          <w:szCs w:val="24"/>
          <w:lang w:val="en-US" w:eastAsia="zh-CN"/>
        </w:rPr>
        <w:t>BUG及漏洞修复</w:t>
      </w:r>
      <w:r>
        <w:rPr>
          <w:rFonts w:hint="eastAsia" w:ascii="宋体" w:hAnsi="宋体" w:cs="宋体"/>
          <w:sz w:val="24"/>
          <w:szCs w:val="24"/>
        </w:rPr>
        <w:t>、技术支持服务、系统管理及操作培训</w:t>
      </w:r>
      <w:r>
        <w:rPr>
          <w:rFonts w:hint="eastAsia" w:ascii="宋体" w:hAnsi="宋体" w:cs="宋体"/>
          <w:sz w:val="24"/>
          <w:szCs w:val="24"/>
          <w:lang w:eastAsia="zh-CN"/>
        </w:rPr>
        <w:t>服务</w:t>
      </w:r>
      <w:r>
        <w:rPr>
          <w:rFonts w:hint="eastAsia" w:ascii="宋体" w:hAnsi="宋体" w:cs="宋体"/>
          <w:sz w:val="24"/>
          <w:szCs w:val="24"/>
        </w:rPr>
        <w:t>，免费提供系统个性化修改需求。请详细说明售后服务的内容。</w:t>
      </w:r>
    </w:p>
    <w:p w14:paraId="6CFFB9D9">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eastAsia="宋体" w:cs="宋体"/>
          <w:sz w:val="24"/>
          <w:szCs w:val="24"/>
          <w:lang w:eastAsia="zh-CN"/>
        </w:rPr>
      </w:pPr>
      <w:r>
        <w:rPr>
          <w:rFonts w:hint="eastAsia" w:ascii="宋体" w:hAnsi="宋体" w:cs="宋体"/>
          <w:sz w:val="24"/>
          <w:szCs w:val="24"/>
        </w:rPr>
        <w:t>5.2安装调试要求：免费送货上门、安装调试、提供完善的设备及软件系统使用中文操作手册、图纸、网络详细拓扑图、系统配置、功能配置、设备配置及互联记录</w:t>
      </w:r>
      <w:r>
        <w:rPr>
          <w:rFonts w:hint="eastAsia" w:ascii="宋体" w:hAnsi="宋体" w:cs="宋体"/>
          <w:sz w:val="24"/>
          <w:szCs w:val="24"/>
          <w:lang w:eastAsia="zh-CN"/>
        </w:rPr>
        <w:t>。</w:t>
      </w:r>
    </w:p>
    <w:p w14:paraId="0EC1D3AE">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sz w:val="24"/>
          <w:szCs w:val="24"/>
        </w:rPr>
      </w:pPr>
      <w:r>
        <w:rPr>
          <w:rFonts w:hint="eastAsia" w:ascii="宋体" w:hAnsi="宋体" w:cs="宋体"/>
          <w:sz w:val="24"/>
          <w:szCs w:val="24"/>
        </w:rPr>
        <w:t>5.3原厂技术人员免费提供</w:t>
      </w:r>
      <w:r>
        <w:rPr>
          <w:rFonts w:hint="eastAsia" w:ascii="宋体" w:hAnsi="宋体" w:cs="宋体"/>
          <w:sz w:val="24"/>
          <w:szCs w:val="24"/>
          <w:lang w:eastAsia="zh-CN"/>
        </w:rPr>
        <w:t>售后</w:t>
      </w:r>
      <w:r>
        <w:rPr>
          <w:rFonts w:hint="eastAsia" w:ascii="宋体" w:hAnsi="宋体" w:cs="宋体"/>
          <w:sz w:val="24"/>
          <w:szCs w:val="24"/>
        </w:rPr>
        <w:t>服务，含电话支持、现场响应、远程操作、网上客服中心等多种方式服务，应做到7×24小时全天候电话或微信等常用联系方式响应。</w:t>
      </w:r>
      <w:bookmarkStart w:id="8" w:name="_Toc507405798"/>
      <w:r>
        <w:rPr>
          <w:rFonts w:hint="eastAsia" w:ascii="宋体" w:hAnsi="宋体" w:cs="宋体"/>
          <w:sz w:val="24"/>
          <w:szCs w:val="24"/>
        </w:rPr>
        <w:t>当出现故障时，接到故障通知后，原厂技术人员应在30分钟内响应，远程技术支持无法解决的，</w:t>
      </w:r>
      <w:r>
        <w:rPr>
          <w:rFonts w:hint="default" w:ascii="宋体" w:hAnsi="宋体" w:cs="宋体"/>
          <w:sz w:val="24"/>
          <w:szCs w:val="24"/>
          <w:lang w:val="en-US"/>
        </w:rPr>
        <w:t>24</w:t>
      </w:r>
      <w:r>
        <w:rPr>
          <w:rFonts w:hint="eastAsia" w:ascii="宋体" w:hAnsi="宋体" w:cs="宋体"/>
          <w:sz w:val="24"/>
          <w:szCs w:val="24"/>
        </w:rPr>
        <w:t>小时内需到达现场处理修复</w:t>
      </w:r>
      <w:bookmarkStart w:id="11" w:name="_GoBack"/>
      <w:bookmarkEnd w:id="11"/>
      <w:r>
        <w:rPr>
          <w:rFonts w:hint="eastAsia" w:ascii="宋体" w:hAnsi="宋体" w:cs="宋体"/>
          <w:sz w:val="24"/>
          <w:szCs w:val="24"/>
        </w:rPr>
        <w:t>，并调查分析事故原因，如现场仍不能解决问题，需24小时内免费提供同档次或更高档次的备用设备解决问题。</w:t>
      </w:r>
    </w:p>
    <w:p w14:paraId="4786C458">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sz w:val="24"/>
          <w:szCs w:val="24"/>
          <w:lang w:eastAsia="zh-CN"/>
        </w:rPr>
      </w:pPr>
      <w:r>
        <w:rPr>
          <w:rFonts w:hint="eastAsia" w:ascii="宋体" w:hAnsi="宋体" w:cs="宋体"/>
          <w:sz w:val="24"/>
          <w:szCs w:val="24"/>
        </w:rPr>
        <w:t>5.4供应商提供原厂技术人员定期</w:t>
      </w:r>
      <w:r>
        <w:rPr>
          <w:rFonts w:hint="eastAsia" w:ascii="宋体" w:hAnsi="宋体" w:cs="宋体"/>
          <w:sz w:val="24"/>
          <w:szCs w:val="24"/>
          <w:lang w:eastAsia="zh-CN"/>
        </w:rPr>
        <w:t>巡检</w:t>
      </w:r>
      <w:r>
        <w:rPr>
          <w:rFonts w:hint="eastAsia" w:ascii="宋体" w:hAnsi="宋体" w:cs="宋体"/>
          <w:sz w:val="24"/>
          <w:szCs w:val="24"/>
        </w:rPr>
        <w:t>服务，定期通过电话或其他方式访问用户，了解产品使用情况及网络安全情况</w:t>
      </w:r>
      <w:r>
        <w:rPr>
          <w:rFonts w:hint="eastAsia" w:ascii="宋体" w:hAnsi="宋体" w:cs="宋体"/>
          <w:sz w:val="24"/>
          <w:szCs w:val="24"/>
          <w:lang w:eastAsia="zh-CN"/>
        </w:rPr>
        <w:t>。</w:t>
      </w:r>
    </w:p>
    <w:p w14:paraId="7E7F6CC3">
      <w:pPr>
        <w:pageBreakBefore w:val="0"/>
        <w:widowControl w:val="0"/>
        <w:kinsoku/>
        <w:wordWrap/>
        <w:overflowPunct/>
        <w:topLinePunct w:val="0"/>
        <w:autoSpaceDE/>
        <w:autoSpaceDN/>
        <w:bidi w:val="0"/>
        <w:adjustRightInd/>
        <w:snapToGrid/>
        <w:spacing w:line="312" w:lineRule="auto"/>
        <w:ind w:firstLine="420"/>
        <w:jc w:val="left"/>
        <w:textAlignment w:val="auto"/>
        <w:rPr>
          <w:rFonts w:hint="default" w:ascii="宋体" w:hAnsi="宋体" w:cs="宋体"/>
          <w:sz w:val="24"/>
          <w:szCs w:val="24"/>
          <w:lang w:val="en-US" w:eastAsia="zh-CN"/>
        </w:rPr>
      </w:pPr>
      <w:r>
        <w:rPr>
          <w:rFonts w:hint="eastAsia" w:ascii="宋体" w:hAnsi="宋体" w:cs="宋体"/>
          <w:sz w:val="24"/>
          <w:szCs w:val="24"/>
          <w:lang w:eastAsia="zh-CN"/>
        </w:rPr>
        <w:t>按院方要求巡检（国家法定节假日前巡检或按院方需求时间巡检），每季度巡检不得少于一次</w:t>
      </w:r>
      <w:r>
        <w:rPr>
          <w:rFonts w:hint="eastAsia" w:ascii="宋体" w:hAnsi="宋体" w:cs="宋体"/>
          <w:sz w:val="24"/>
          <w:szCs w:val="24"/>
        </w:rPr>
        <w:t>，并形成巡检报告</w:t>
      </w:r>
      <w:r>
        <w:rPr>
          <w:rFonts w:hint="eastAsia" w:ascii="宋体" w:hAnsi="宋体" w:cs="宋体"/>
          <w:sz w:val="24"/>
          <w:szCs w:val="24"/>
          <w:lang w:eastAsia="zh-CN"/>
        </w:rPr>
        <w:t>（</w:t>
      </w:r>
      <w:r>
        <w:rPr>
          <w:rFonts w:hint="eastAsia" w:ascii="宋体" w:hAnsi="宋体" w:cs="宋体"/>
          <w:sz w:val="24"/>
          <w:szCs w:val="24"/>
        </w:rPr>
        <w:t>内容涉及此</w:t>
      </w:r>
      <w:r>
        <w:rPr>
          <w:rFonts w:hint="eastAsia" w:ascii="宋体" w:hAnsi="宋体" w:cs="宋体"/>
          <w:sz w:val="24"/>
          <w:szCs w:val="24"/>
          <w:lang w:eastAsia="zh-CN"/>
        </w:rPr>
        <w:t>产品</w:t>
      </w:r>
      <w:r>
        <w:rPr>
          <w:rFonts w:hint="eastAsia" w:ascii="宋体" w:hAnsi="宋体" w:cs="宋体"/>
          <w:sz w:val="24"/>
          <w:szCs w:val="24"/>
          <w:lang w:val="en-US" w:eastAsia="zh-CN"/>
        </w:rPr>
        <w:t>服务器\</w:t>
      </w:r>
      <w:r>
        <w:rPr>
          <w:rFonts w:hint="eastAsia" w:ascii="宋体" w:hAnsi="宋体" w:cs="宋体"/>
          <w:sz w:val="24"/>
          <w:szCs w:val="24"/>
        </w:rPr>
        <w:t>相关设备</w:t>
      </w:r>
      <w:r>
        <w:rPr>
          <w:rFonts w:hint="eastAsia" w:ascii="宋体" w:hAnsi="宋体" w:cs="宋体"/>
          <w:sz w:val="24"/>
          <w:szCs w:val="24"/>
          <w:lang w:eastAsia="zh-CN"/>
        </w:rPr>
        <w:t>的</w:t>
      </w:r>
      <w:r>
        <w:rPr>
          <w:rFonts w:hint="eastAsia" w:ascii="宋体" w:hAnsi="宋体" w:cs="宋体"/>
          <w:sz w:val="24"/>
          <w:szCs w:val="24"/>
        </w:rPr>
        <w:t>运行情况）反馈给我院。</w:t>
      </w:r>
    </w:p>
    <w:p w14:paraId="435A0EAB">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b/>
          <w:bCs/>
          <w:sz w:val="28"/>
          <w:szCs w:val="28"/>
          <w:lang w:val="en-US"/>
        </w:rPr>
      </w:pPr>
      <w:r>
        <w:rPr>
          <w:rFonts w:hint="eastAsia" w:ascii="宋体" w:hAnsi="宋体" w:cs="宋体"/>
          <w:b/>
          <w:bCs/>
          <w:sz w:val="28"/>
          <w:szCs w:val="28"/>
          <w:lang w:val="en-US"/>
        </w:rPr>
        <w:t>六、违约责任</w:t>
      </w:r>
    </w:p>
    <w:p w14:paraId="2DDA00B8">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sz w:val="24"/>
          <w:szCs w:val="24"/>
        </w:rPr>
      </w:pPr>
      <w:r>
        <w:rPr>
          <w:rFonts w:hint="eastAsia" w:ascii="宋体" w:hAnsi="宋体" w:cs="宋体"/>
          <w:sz w:val="24"/>
          <w:szCs w:val="24"/>
        </w:rPr>
        <w:t>6.1投标方所提供的</w:t>
      </w:r>
      <w:r>
        <w:rPr>
          <w:rFonts w:hint="eastAsia" w:ascii="宋体" w:hAnsi="宋体" w:cs="宋体"/>
          <w:sz w:val="24"/>
          <w:szCs w:val="24"/>
          <w:lang w:val="en-US" w:eastAsia="zh-CN"/>
        </w:rPr>
        <w:t>产品/软件</w:t>
      </w:r>
      <w:r>
        <w:rPr>
          <w:rFonts w:hint="eastAsia" w:ascii="宋体" w:hAnsi="宋体" w:cs="宋体"/>
          <w:sz w:val="24"/>
          <w:szCs w:val="24"/>
        </w:rPr>
        <w:t>规格、技术标准、材料等质量不合格的，应及时更换，更换不及时的按逾期交货</w:t>
      </w:r>
      <w:r>
        <w:rPr>
          <w:rFonts w:hint="eastAsia" w:ascii="宋体" w:hAnsi="宋体" w:cs="宋体"/>
          <w:sz w:val="24"/>
          <w:szCs w:val="24"/>
          <w:lang w:val="en-US" w:eastAsia="zh-CN"/>
        </w:rPr>
        <w:t>/交付</w:t>
      </w:r>
      <w:r>
        <w:rPr>
          <w:rFonts w:hint="eastAsia" w:ascii="宋体" w:hAnsi="宋体" w:cs="宋体"/>
          <w:sz w:val="24"/>
          <w:szCs w:val="24"/>
        </w:rPr>
        <w:t>处罚；因质量问题我院不同意接收，投标方应向我院支付违约货款额5%违约金并赔偿我院经济损失。</w:t>
      </w:r>
    </w:p>
    <w:p w14:paraId="1800D22A">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sz w:val="24"/>
          <w:szCs w:val="24"/>
        </w:rPr>
      </w:pPr>
      <w:r>
        <w:rPr>
          <w:rFonts w:hint="eastAsia" w:ascii="宋体" w:hAnsi="宋体" w:cs="宋体"/>
          <w:sz w:val="24"/>
          <w:szCs w:val="24"/>
        </w:rPr>
        <w:t>6.2</w:t>
      </w:r>
      <w:r>
        <w:rPr>
          <w:rFonts w:hint="eastAsia" w:ascii="宋体" w:hAnsi="宋体" w:cs="宋体"/>
          <w:sz w:val="24"/>
          <w:szCs w:val="24"/>
          <w:lang w:eastAsia="zh-CN"/>
        </w:rPr>
        <w:t>若</w:t>
      </w:r>
      <w:r>
        <w:rPr>
          <w:rFonts w:hint="eastAsia" w:ascii="宋体" w:hAnsi="宋体" w:cs="宋体"/>
          <w:sz w:val="24"/>
          <w:szCs w:val="24"/>
        </w:rPr>
        <w:t>投标方提供的</w:t>
      </w:r>
      <w:r>
        <w:rPr>
          <w:rFonts w:hint="eastAsia" w:ascii="宋体" w:hAnsi="宋体" w:cs="宋体"/>
          <w:sz w:val="24"/>
          <w:szCs w:val="24"/>
          <w:lang w:eastAsia="zh-CN"/>
        </w:rPr>
        <w:t>产品或软件</w:t>
      </w:r>
      <w:r>
        <w:rPr>
          <w:rFonts w:hint="eastAsia" w:ascii="宋体" w:hAnsi="宋体" w:cs="宋体"/>
          <w:sz w:val="24"/>
          <w:szCs w:val="24"/>
        </w:rPr>
        <w:t>侵犯了第三方合法权益而引发的任何纠纷或诉讼，均由投标方负责交涉并承担全部责任。</w:t>
      </w:r>
    </w:p>
    <w:p w14:paraId="6D467AB3">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eastAsia="宋体" w:cs="宋体"/>
          <w:color w:val="auto"/>
          <w:sz w:val="24"/>
          <w:szCs w:val="24"/>
        </w:rPr>
      </w:pPr>
      <w:r>
        <w:rPr>
          <w:rFonts w:hint="eastAsia" w:ascii="宋体" w:hAnsi="宋体" w:cs="宋体"/>
          <w:sz w:val="24"/>
          <w:szCs w:val="24"/>
        </w:rPr>
        <w:t>6.3因包装、运输引起的货物损坏，按质量不合格处理。设备安装、调试完成之日起三个月内为设备质保期，在质保期期间若出现设备硬件故障或损坏的情况，我院有权要求投标方更换同</w:t>
      </w:r>
      <w:r>
        <w:rPr>
          <w:rFonts w:hint="eastAsia" w:ascii="宋体" w:hAnsi="宋体" w:eastAsia="宋体" w:cs="宋体"/>
          <w:color w:val="auto"/>
          <w:sz w:val="24"/>
          <w:szCs w:val="24"/>
        </w:rPr>
        <w:t>等型号和配置的新设备，设备换新、安装、调试产生的所有费用由投标方承担。</w:t>
      </w:r>
    </w:p>
    <w:p w14:paraId="1CFAC021">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ascii="宋体" w:hAnsi="宋体" w:eastAsia="宋体" w:cs="宋体"/>
          <w:color w:val="auto"/>
          <w:sz w:val="24"/>
          <w:lang w:val="en-US"/>
        </w:rPr>
      </w:pPr>
      <w:r>
        <w:rPr>
          <w:rFonts w:hint="eastAsia" w:ascii="宋体" w:hAnsi="宋体" w:eastAsia="宋体" w:cs="宋体"/>
          <w:color w:val="auto"/>
          <w:sz w:val="24"/>
          <w:szCs w:val="24"/>
          <w:lang w:val="en-US"/>
        </w:rPr>
        <w:t>6.4</w:t>
      </w:r>
      <w:r>
        <w:rPr>
          <w:rFonts w:hint="eastAsia" w:ascii="宋体" w:hAnsi="宋体" w:eastAsia="宋体" w:cs="宋体"/>
          <w:color w:val="auto"/>
          <w:sz w:val="24"/>
          <w:szCs w:val="24"/>
        </w:rPr>
        <w:t> 投标方逾期交货</w:t>
      </w:r>
      <w:r>
        <w:rPr>
          <w:rFonts w:hint="eastAsia" w:ascii="宋体" w:hAnsi="宋体" w:eastAsia="宋体" w:cs="宋体"/>
          <w:color w:val="auto"/>
          <w:sz w:val="24"/>
          <w:szCs w:val="24"/>
          <w:lang w:val="en-US" w:eastAsia="zh-CN"/>
        </w:rPr>
        <w:t>/交付</w:t>
      </w:r>
      <w:r>
        <w:rPr>
          <w:rFonts w:hint="eastAsia" w:ascii="宋体" w:hAnsi="宋体" w:eastAsia="宋体" w:cs="宋体"/>
          <w:color w:val="auto"/>
          <w:sz w:val="24"/>
          <w:szCs w:val="24"/>
        </w:rPr>
        <w:t>的，每天</w:t>
      </w:r>
      <w:r>
        <w:rPr>
          <w:rFonts w:hint="eastAsia" w:ascii="宋体" w:hAnsi="宋体" w:eastAsia="宋体" w:cs="宋体"/>
          <w:color w:val="auto"/>
          <w:sz w:val="24"/>
        </w:rPr>
        <w:t>向</w:t>
      </w:r>
      <w:r>
        <w:rPr>
          <w:rFonts w:hint="eastAsia" w:ascii="宋体" w:hAnsi="宋体" w:eastAsia="宋体" w:cs="宋体"/>
          <w:color w:val="auto"/>
          <w:sz w:val="24"/>
          <w:lang w:eastAsia="zh-CN"/>
        </w:rPr>
        <w:t>甲方</w:t>
      </w:r>
      <w:r>
        <w:rPr>
          <w:rFonts w:hint="eastAsia" w:ascii="宋体" w:hAnsi="宋体" w:eastAsia="宋体" w:cs="宋体"/>
          <w:color w:val="auto"/>
          <w:sz w:val="24"/>
        </w:rPr>
        <w:t>偿付违约货款额3‰违约金，但违约金累计不得超过违约货款额 5% ，超过30天对方有权解除合同，违约方承担因此给对方造成的经济损失；</w:t>
      </w:r>
    </w:p>
    <w:p w14:paraId="271A8447">
      <w:pPr>
        <w:pStyle w:val="3"/>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FF0000"/>
          <w:sz w:val="24"/>
          <w:lang w:val="en-US"/>
        </w:rPr>
      </w:pPr>
      <w:r>
        <w:rPr>
          <w:rFonts w:hint="eastAsia" w:ascii="宋体" w:hAnsi="宋体" w:eastAsia="宋体" w:cs="宋体"/>
          <w:color w:val="auto"/>
          <w:sz w:val="24"/>
          <w:lang w:val="en-US"/>
        </w:rPr>
        <w:t>6.5售后服务违约</w:t>
      </w:r>
      <w:r>
        <w:rPr>
          <w:rFonts w:hint="eastAsia" w:ascii="宋体" w:hAnsi="宋体" w:eastAsia="宋体" w:cs="宋体"/>
          <w:color w:val="auto"/>
          <w:sz w:val="24"/>
          <w:lang w:val="en-US" w:eastAsia="zh-CN"/>
        </w:rPr>
        <w:t>：</w:t>
      </w:r>
    </w:p>
    <w:p w14:paraId="35AFE15B">
      <w:pPr>
        <w:pStyle w:val="3"/>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rPr>
        <w:t>6.5.</w:t>
      </w:r>
      <w:r>
        <w:rPr>
          <w:rFonts w:hint="default" w:ascii="宋体" w:hAnsi="宋体" w:eastAsia="宋体" w:cs="宋体"/>
          <w:color w:val="auto"/>
          <w:sz w:val="24"/>
          <w:lang w:val="en-US"/>
        </w:rPr>
        <w:t>1</w:t>
      </w:r>
      <w:r>
        <w:rPr>
          <w:rFonts w:hint="eastAsia" w:ascii="宋体" w:hAnsi="宋体" w:eastAsia="宋体" w:cs="宋体"/>
          <w:color w:val="auto"/>
          <w:sz w:val="24"/>
          <w:lang w:val="en-US"/>
        </w:rPr>
        <w:t>投标方未按本技术要求和响应文件中规定的其他服务承诺提供售后服务的，每次投标方应按合同合计金额的5% 向</w:t>
      </w:r>
      <w:r>
        <w:rPr>
          <w:rFonts w:hint="eastAsia" w:ascii="宋体" w:hAnsi="宋体" w:eastAsia="宋体" w:cs="宋体"/>
          <w:color w:val="auto"/>
          <w:sz w:val="24"/>
          <w:lang w:val="en-US" w:eastAsia="zh-CN"/>
        </w:rPr>
        <w:t>甲方</w:t>
      </w:r>
      <w:r>
        <w:rPr>
          <w:rFonts w:hint="eastAsia" w:ascii="宋体" w:hAnsi="宋体" w:eastAsia="宋体" w:cs="宋体"/>
          <w:color w:val="auto"/>
          <w:sz w:val="24"/>
          <w:lang w:val="en-US"/>
        </w:rPr>
        <w:t>支付违约金。</w:t>
      </w:r>
    </w:p>
    <w:p w14:paraId="425D7D43">
      <w:pPr>
        <w:pStyle w:val="3"/>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rPr>
        <w:t>6.6合同签订后7个工作日内进场实施，每个模块计划实施周期需在合同内写明。因</w:t>
      </w:r>
      <w:r>
        <w:rPr>
          <w:rFonts w:hint="eastAsia" w:ascii="宋体" w:hAnsi="宋体" w:eastAsia="宋体" w:cs="宋体"/>
          <w:color w:val="auto"/>
          <w:sz w:val="24"/>
          <w:lang w:val="en-US" w:eastAsia="zh-CN"/>
        </w:rPr>
        <w:t>软件提供商</w:t>
      </w:r>
      <w:r>
        <w:rPr>
          <w:rFonts w:hint="eastAsia" w:ascii="宋体" w:hAnsi="宋体" w:eastAsia="宋体" w:cs="宋体"/>
          <w:color w:val="auto"/>
          <w:sz w:val="24"/>
          <w:lang w:val="en-US"/>
        </w:rPr>
        <w:t>原因逾期不进场实施的，</w:t>
      </w:r>
      <w:r>
        <w:rPr>
          <w:rFonts w:hint="eastAsia" w:ascii="宋体" w:hAnsi="宋体" w:eastAsia="宋体" w:cs="宋体"/>
          <w:color w:val="auto"/>
          <w:sz w:val="24"/>
        </w:rPr>
        <w:t>需按每天向院方支付合同款金额3‰作为违约金</w:t>
      </w:r>
      <w:r>
        <w:rPr>
          <w:rFonts w:hint="eastAsia" w:ascii="宋体" w:hAnsi="宋体" w:eastAsia="宋体" w:cs="宋体"/>
          <w:color w:val="auto"/>
          <w:sz w:val="24"/>
          <w:lang w:eastAsia="zh-CN"/>
        </w:rPr>
        <w:t>，</w:t>
      </w:r>
      <w:r>
        <w:rPr>
          <w:rFonts w:hint="eastAsia" w:ascii="宋体" w:hAnsi="宋体" w:eastAsia="宋体" w:cs="宋体"/>
          <w:color w:val="auto"/>
          <w:sz w:val="24"/>
        </w:rPr>
        <w:t>超过30天，</w:t>
      </w:r>
      <w:r>
        <w:rPr>
          <w:rFonts w:hint="eastAsia" w:ascii="宋体" w:hAnsi="宋体" w:eastAsia="宋体" w:cs="宋体"/>
          <w:color w:val="auto"/>
          <w:sz w:val="24"/>
          <w:lang w:eastAsia="zh-CN"/>
        </w:rPr>
        <w:t>甲</w:t>
      </w:r>
      <w:r>
        <w:rPr>
          <w:rFonts w:hint="eastAsia" w:ascii="宋体" w:hAnsi="宋体" w:eastAsia="宋体" w:cs="宋体"/>
          <w:color w:val="auto"/>
          <w:sz w:val="24"/>
        </w:rPr>
        <w:t>有权解除合同，</w:t>
      </w:r>
      <w:r>
        <w:rPr>
          <w:rFonts w:hint="eastAsia" w:ascii="宋体" w:hAnsi="宋体" w:eastAsia="宋体" w:cs="宋体"/>
          <w:color w:val="auto"/>
          <w:sz w:val="24"/>
          <w:lang w:eastAsia="zh-CN"/>
        </w:rPr>
        <w:t>乙方</w:t>
      </w:r>
      <w:r>
        <w:rPr>
          <w:rFonts w:hint="eastAsia" w:ascii="宋体" w:hAnsi="宋体" w:eastAsia="宋体" w:cs="宋体"/>
          <w:color w:val="auto"/>
          <w:sz w:val="24"/>
        </w:rPr>
        <w:t>需承担因此给院方造成的经济损失；</w:t>
      </w:r>
      <w:r>
        <w:rPr>
          <w:rFonts w:hint="eastAsia" w:ascii="宋体" w:hAnsi="宋体" w:eastAsia="宋体" w:cs="宋体"/>
          <w:color w:val="auto"/>
          <w:sz w:val="24"/>
          <w:lang w:val="en-US"/>
        </w:rPr>
        <w:t>不能按照合同约定上线期限完成，需要书面申请说明原因，得到医院书面同意后最多延期一个月，否则（或者延期一个月后）按每超期7天（一周）从总合同金额扣除5%的违约金。扣除比例达到总合同金额的50%及以上的，视为</w:t>
      </w:r>
      <w:r>
        <w:rPr>
          <w:rFonts w:hint="eastAsia" w:ascii="宋体" w:hAnsi="宋体" w:eastAsia="宋体" w:cs="宋体"/>
          <w:color w:val="auto"/>
          <w:sz w:val="24"/>
          <w:lang w:val="en-US" w:eastAsia="zh-CN"/>
        </w:rPr>
        <w:t>乙方</w:t>
      </w:r>
      <w:r>
        <w:rPr>
          <w:rFonts w:hint="eastAsia" w:ascii="宋体" w:hAnsi="宋体" w:eastAsia="宋体" w:cs="宋体"/>
          <w:color w:val="auto"/>
          <w:sz w:val="24"/>
          <w:lang w:val="en-US"/>
        </w:rPr>
        <w:t>违约，</w:t>
      </w:r>
      <w:r>
        <w:rPr>
          <w:rFonts w:hint="eastAsia" w:ascii="宋体" w:hAnsi="宋体" w:eastAsia="宋体" w:cs="宋体"/>
          <w:color w:val="auto"/>
          <w:sz w:val="24"/>
          <w:lang w:val="en-US" w:eastAsia="zh-CN"/>
        </w:rPr>
        <w:t>甲方</w:t>
      </w:r>
      <w:r>
        <w:rPr>
          <w:rFonts w:hint="eastAsia" w:ascii="宋体" w:hAnsi="宋体" w:eastAsia="宋体" w:cs="宋体"/>
          <w:color w:val="auto"/>
          <w:sz w:val="24"/>
          <w:lang w:val="en-US"/>
        </w:rPr>
        <w:t>有权单方面解除合同，并要求</w:t>
      </w:r>
      <w:r>
        <w:rPr>
          <w:rFonts w:hint="eastAsia" w:ascii="宋体" w:hAnsi="宋体" w:eastAsia="宋体" w:cs="宋体"/>
          <w:color w:val="auto"/>
          <w:sz w:val="24"/>
          <w:lang w:val="en-US" w:eastAsia="zh-CN"/>
        </w:rPr>
        <w:t>乙方</w:t>
      </w:r>
      <w:r>
        <w:rPr>
          <w:rFonts w:hint="eastAsia" w:ascii="宋体" w:hAnsi="宋体" w:eastAsia="宋体" w:cs="宋体"/>
          <w:color w:val="auto"/>
          <w:sz w:val="24"/>
          <w:lang w:val="en-US"/>
        </w:rPr>
        <w:t>退回所有医院已支付款项，同时</w:t>
      </w:r>
      <w:r>
        <w:rPr>
          <w:rFonts w:hint="eastAsia" w:ascii="宋体" w:hAnsi="宋体" w:eastAsia="宋体" w:cs="宋体"/>
          <w:color w:val="auto"/>
          <w:sz w:val="24"/>
          <w:lang w:val="en-US" w:eastAsia="zh-CN"/>
        </w:rPr>
        <w:t>按</w:t>
      </w:r>
      <w:r>
        <w:rPr>
          <w:rFonts w:hint="eastAsia" w:ascii="宋体" w:hAnsi="宋体" w:eastAsia="宋体" w:cs="宋体"/>
          <w:color w:val="auto"/>
          <w:sz w:val="24"/>
          <w:lang w:val="en-US"/>
        </w:rPr>
        <w:t>合同总金额的20%做为违约金</w:t>
      </w:r>
      <w:r>
        <w:rPr>
          <w:rFonts w:hint="eastAsia" w:ascii="宋体" w:hAnsi="宋体" w:eastAsia="宋体" w:cs="宋体"/>
          <w:color w:val="auto"/>
          <w:sz w:val="24"/>
          <w:lang w:val="en-US" w:eastAsia="zh-CN"/>
        </w:rPr>
        <w:t>支付给甲方</w:t>
      </w:r>
      <w:r>
        <w:rPr>
          <w:rFonts w:hint="eastAsia" w:ascii="宋体" w:hAnsi="宋体" w:eastAsia="宋体" w:cs="宋体"/>
          <w:color w:val="auto"/>
          <w:sz w:val="24"/>
          <w:lang w:val="en-US"/>
        </w:rPr>
        <w:t>。</w:t>
      </w:r>
    </w:p>
    <w:p w14:paraId="0B94EA4E">
      <w:pPr>
        <w:pStyle w:val="3"/>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6.7任何一方违反本技术要求中“保密、廉洁条款”要求的，应承担相应的违约责任并赔偿由此造成的损失，损失累计金额超过合同款项的5%的，损失方同时有权终止合同并收回已付款项。</w:t>
      </w:r>
    </w:p>
    <w:p w14:paraId="64BDBF3F">
      <w:pPr>
        <w:pStyle w:val="3"/>
        <w:pageBreakBefore w:val="0"/>
        <w:widowControl w:val="0"/>
        <w:kinsoku/>
        <w:wordWrap/>
        <w:overflowPunct/>
        <w:topLinePunct w:val="0"/>
        <w:autoSpaceDE/>
        <w:autoSpaceDN/>
        <w:bidi w:val="0"/>
        <w:adjustRightInd/>
        <w:snapToGrid/>
        <w:spacing w:after="0" w:line="312" w:lineRule="auto"/>
        <w:ind w:firstLine="42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lang w:val="en-US"/>
        </w:rPr>
        <w:t>6.</w:t>
      </w:r>
      <w:r>
        <w:rPr>
          <w:rFonts w:hint="eastAsia" w:ascii="宋体" w:hAnsi="宋体" w:eastAsia="宋体" w:cs="宋体"/>
          <w:color w:val="auto"/>
          <w:sz w:val="24"/>
          <w:lang w:val="en-US" w:eastAsia="zh-CN"/>
        </w:rPr>
        <w:t>8厂商</w:t>
      </w:r>
      <w:r>
        <w:rPr>
          <w:rFonts w:hint="eastAsia" w:ascii="宋体" w:hAnsi="宋体" w:eastAsia="宋体" w:cs="宋体"/>
          <w:color w:val="auto"/>
          <w:sz w:val="24"/>
          <w:lang w:val="en-US"/>
        </w:rPr>
        <w:t>方未按本技术要求和响应文件中规定的其他服务承诺提供售后服务的，按损失情况，每次应按合同合计金额的0.1‰-0.1%</w:t>
      </w:r>
      <w:r>
        <w:rPr>
          <w:rFonts w:hint="eastAsia" w:ascii="宋体" w:hAnsi="宋体" w:eastAsia="宋体" w:cs="宋体"/>
          <w:color w:val="auto"/>
          <w:sz w:val="24"/>
          <w:lang w:val="en-US" w:eastAsia="zh-CN"/>
        </w:rPr>
        <w:t>由乙方</w:t>
      </w:r>
      <w:r>
        <w:rPr>
          <w:rFonts w:hint="eastAsia" w:ascii="宋体" w:hAnsi="宋体" w:eastAsia="宋体" w:cs="宋体"/>
          <w:color w:val="auto"/>
          <w:sz w:val="24"/>
          <w:lang w:val="en-US"/>
        </w:rPr>
        <w:t>向甲方支付违约金，损失累计金额超过合同款项的5%的，损失方同时有权终止合同并收回已付款项。</w:t>
      </w:r>
    </w:p>
    <w:p w14:paraId="1C944A18">
      <w:pPr>
        <w:pStyle w:val="3"/>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w:t>
      </w:r>
      <w:r>
        <w:rPr>
          <w:rFonts w:hint="default" w:ascii="宋体" w:hAnsi="宋体" w:eastAsia="宋体" w:cs="宋体"/>
          <w:color w:val="auto"/>
          <w:sz w:val="24"/>
          <w:lang w:val="en-US" w:eastAsia="zh-CN"/>
        </w:rPr>
        <w:t>9</w:t>
      </w:r>
      <w:r>
        <w:rPr>
          <w:rFonts w:hint="eastAsia" w:ascii="宋体" w:hAnsi="宋体" w:eastAsia="宋体" w:cs="宋体"/>
          <w:color w:val="auto"/>
          <w:sz w:val="24"/>
          <w:lang w:val="en-US" w:eastAsia="zh-CN"/>
        </w:rPr>
        <w:t>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bookmarkEnd w:id="8"/>
    <w:p w14:paraId="0386727E">
      <w:pPr>
        <w:pStyle w:val="3"/>
        <w:pageBreakBefore w:val="0"/>
        <w:widowControl w:val="0"/>
        <w:kinsoku/>
        <w:wordWrap/>
        <w:overflowPunct/>
        <w:topLinePunct w:val="0"/>
        <w:autoSpaceDE/>
        <w:autoSpaceDN/>
        <w:bidi w:val="0"/>
        <w:adjustRightInd/>
        <w:snapToGrid/>
        <w:spacing w:after="0" w:line="312" w:lineRule="auto"/>
        <w:textAlignment w:val="auto"/>
        <w:rPr>
          <w:rFonts w:ascii="宋体" w:hAnsi="宋体" w:eastAsia="宋体" w:cs="宋体"/>
          <w:b/>
          <w:bCs/>
          <w:color w:val="auto"/>
          <w:sz w:val="28"/>
          <w:lang w:val="en-US"/>
        </w:rPr>
      </w:pPr>
      <w:bookmarkStart w:id="9" w:name="_Toc507405799"/>
      <w:bookmarkStart w:id="10" w:name="_Toc507405800"/>
      <w:r>
        <w:rPr>
          <w:rFonts w:hint="eastAsia" w:ascii="宋体" w:hAnsi="宋体" w:eastAsia="宋体" w:cs="宋体"/>
          <w:b/>
          <w:bCs/>
          <w:color w:val="auto"/>
          <w:sz w:val="28"/>
          <w:lang w:val="en-US"/>
        </w:rPr>
        <w:t>七、保密、廉洁协议</w:t>
      </w:r>
    </w:p>
    <w:p w14:paraId="089B6007">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6EC3278D">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 双方不得以任何方式向第三方泄露本项目的软件技术、设计方案以及功能配置等内容。</w:t>
      </w:r>
    </w:p>
    <w:p w14:paraId="4F468EB8">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7.3不以任何方式向第三方泄露在本协议开发实施过程中获取的经济、技术、数据以及双方其他非公开的信息。</w:t>
      </w:r>
    </w:p>
    <w:p w14:paraId="0B27F59A">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14:paraId="1BEF6EED">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color w:val="auto"/>
          <w:lang w:val="en-US"/>
        </w:rPr>
      </w:pPr>
      <w:r>
        <w:rPr>
          <w:rFonts w:hint="eastAsia" w:ascii="宋体" w:hAnsi="宋体" w:eastAsia="宋体" w:cs="宋体"/>
          <w:color w:val="auto"/>
          <w:sz w:val="24"/>
          <w:szCs w:val="24"/>
        </w:rPr>
        <w:t>7.5保密期限自本合同生效之日起永久有效，如乙方需解除保密协议需向甲方提出书面申请，双方协商同意签字确认后方可解除。</w:t>
      </w:r>
    </w:p>
    <w:p w14:paraId="6B746160">
      <w:pPr>
        <w:pStyle w:val="3"/>
        <w:pageBreakBefore w:val="0"/>
        <w:widowControl w:val="0"/>
        <w:kinsoku/>
        <w:wordWrap/>
        <w:overflowPunct/>
        <w:topLinePunct w:val="0"/>
        <w:autoSpaceDE/>
        <w:autoSpaceDN/>
        <w:bidi w:val="0"/>
        <w:adjustRightInd/>
        <w:snapToGrid/>
        <w:spacing w:after="0" w:line="312" w:lineRule="auto"/>
        <w:textAlignment w:val="auto"/>
        <w:rPr>
          <w:rFonts w:ascii="宋体" w:hAnsi="宋体" w:eastAsia="宋体" w:cs="宋体"/>
          <w:b/>
          <w:bCs/>
          <w:color w:val="auto"/>
          <w:sz w:val="28"/>
          <w:lang w:val="en-US"/>
        </w:rPr>
      </w:pPr>
      <w:r>
        <w:rPr>
          <w:rFonts w:hint="eastAsia" w:ascii="宋体" w:hAnsi="宋体" w:eastAsia="宋体" w:cs="宋体"/>
          <w:b/>
          <w:bCs/>
          <w:color w:val="auto"/>
          <w:sz w:val="28"/>
          <w:lang w:val="en-US"/>
        </w:rPr>
        <w:t>八、报价</w:t>
      </w:r>
    </w:p>
    <w:p w14:paraId="4BD493AD">
      <w:pPr>
        <w:pStyle w:val="3"/>
        <w:pageBreakBefore w:val="0"/>
        <w:widowControl w:val="0"/>
        <w:kinsoku/>
        <w:wordWrap/>
        <w:overflowPunct/>
        <w:topLinePunct w:val="0"/>
        <w:autoSpaceDE/>
        <w:autoSpaceDN/>
        <w:bidi w:val="0"/>
        <w:adjustRightInd/>
        <w:snapToGrid/>
        <w:spacing w:after="0" w:line="312" w:lineRule="auto"/>
        <w:ind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8.1</w:t>
      </w:r>
      <w:r>
        <w:rPr>
          <w:rFonts w:hint="eastAsia" w:ascii="宋体" w:hAnsi="宋体" w:eastAsia="宋体" w:cs="宋体"/>
          <w:color w:val="auto"/>
          <w:sz w:val="24"/>
          <w:szCs w:val="24"/>
        </w:rPr>
        <w:t>竞标文件</w:t>
      </w:r>
      <w:r>
        <w:rPr>
          <w:rFonts w:hint="eastAsia" w:ascii="宋体" w:hAnsi="宋体" w:eastAsia="宋体" w:cs="宋体"/>
          <w:color w:val="auto"/>
          <w:sz w:val="24"/>
          <w:szCs w:val="24"/>
          <w:lang w:eastAsia="zh-CN"/>
        </w:rPr>
        <w:t>提供技术偏离表、服务偏离表</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并标明详细的技术和服务内容。</w:t>
      </w:r>
      <w:r>
        <w:rPr>
          <w:rFonts w:hint="eastAsia" w:ascii="宋体" w:hAnsi="宋体" w:eastAsia="宋体" w:cs="宋体"/>
          <w:color w:val="auto"/>
          <w:sz w:val="24"/>
          <w:szCs w:val="24"/>
        </w:rPr>
        <w:t>竞标文件按系统模块报价，报价表价格包含系统软硬件费用、产品安装、调试实施、培训费用、产品升级费用</w:t>
      </w:r>
      <w:r>
        <w:rPr>
          <w:rFonts w:hint="eastAsia" w:ascii="宋体" w:hAnsi="宋体" w:eastAsia="宋体" w:cs="宋体"/>
          <w:color w:val="auto"/>
          <w:sz w:val="24"/>
          <w:szCs w:val="24"/>
          <w:lang w:eastAsia="zh-CN"/>
        </w:rPr>
        <w:t>、</w:t>
      </w:r>
      <w:r>
        <w:rPr>
          <w:rFonts w:hint="eastAsia" w:ascii="宋体" w:hAnsi="宋体" w:eastAsia="宋体"/>
          <w:color w:val="auto"/>
          <w:sz w:val="24"/>
          <w:szCs w:val="24"/>
        </w:rPr>
        <w:t>接口费（包括第三方厂家的接口费）等费用</w:t>
      </w:r>
      <w:r>
        <w:rPr>
          <w:rFonts w:hint="eastAsia" w:ascii="宋体" w:hAnsi="宋体" w:eastAsia="宋体" w:cs="宋体"/>
          <w:color w:val="auto"/>
          <w:sz w:val="24"/>
          <w:szCs w:val="24"/>
        </w:rPr>
        <w:t>，以及明示所有责任、义务和一切风险。</w:t>
      </w:r>
    </w:p>
    <w:p w14:paraId="48F9FCF0">
      <w:pPr>
        <w:pStyle w:val="3"/>
        <w:pageBreakBefore w:val="0"/>
        <w:widowControl w:val="0"/>
        <w:kinsoku/>
        <w:wordWrap/>
        <w:overflowPunct/>
        <w:topLinePunct w:val="0"/>
        <w:autoSpaceDE/>
        <w:autoSpaceDN/>
        <w:bidi w:val="0"/>
        <w:adjustRightInd/>
        <w:snapToGrid/>
        <w:spacing w:after="0" w:line="312" w:lineRule="auto"/>
        <w:ind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8.2</w:t>
      </w:r>
      <w:r>
        <w:rPr>
          <w:rFonts w:hint="eastAsia" w:ascii="宋体" w:hAnsi="宋体" w:eastAsia="宋体" w:cs="宋体"/>
          <w:color w:val="auto"/>
          <w:sz w:val="24"/>
          <w:szCs w:val="24"/>
          <w:lang w:eastAsia="zh-CN"/>
        </w:rPr>
        <w:t>竞标文件需提供</w:t>
      </w:r>
      <w:r>
        <w:rPr>
          <w:rFonts w:hint="eastAsia" w:ascii="宋体" w:hAnsi="宋体" w:cs="宋体"/>
          <w:sz w:val="24"/>
          <w:szCs w:val="24"/>
          <w:lang w:eastAsia="zh-CN"/>
        </w:rPr>
        <w:t>维保期</w:t>
      </w:r>
      <w:r>
        <w:rPr>
          <w:rFonts w:hint="eastAsia" w:ascii="宋体" w:hAnsi="宋体" w:cs="宋体"/>
          <w:sz w:val="24"/>
          <w:szCs w:val="24"/>
        </w:rPr>
        <w:t>方案及</w:t>
      </w:r>
      <w:r>
        <w:rPr>
          <w:rFonts w:hint="eastAsia" w:ascii="宋体" w:hAnsi="宋体" w:cs="宋体"/>
          <w:sz w:val="24"/>
          <w:szCs w:val="24"/>
          <w:lang w:eastAsia="zh-CN"/>
        </w:rPr>
        <w:t>报价</w:t>
      </w:r>
      <w:r>
        <w:rPr>
          <w:rFonts w:hint="eastAsia" w:ascii="宋体" w:hAnsi="宋体" w:eastAsia="宋体" w:cs="宋体"/>
          <w:color w:val="auto"/>
          <w:sz w:val="24"/>
          <w:szCs w:val="24"/>
          <w:lang w:eastAsia="zh-CN"/>
        </w:rPr>
        <w:t>。</w:t>
      </w:r>
    </w:p>
    <w:p w14:paraId="41195AAC">
      <w:pPr>
        <w:pStyle w:val="3"/>
        <w:pageBreakBefore w:val="0"/>
        <w:widowControl w:val="0"/>
        <w:kinsoku/>
        <w:wordWrap/>
        <w:overflowPunct/>
        <w:topLinePunct w:val="0"/>
        <w:autoSpaceDE/>
        <w:autoSpaceDN/>
        <w:bidi w:val="0"/>
        <w:adjustRightInd/>
        <w:snapToGrid/>
        <w:spacing w:after="0" w:line="312" w:lineRule="auto"/>
        <w:ind w:firstLine="42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8.3</w:t>
      </w:r>
      <w:r>
        <w:rPr>
          <w:rFonts w:hint="eastAsia" w:ascii="宋体" w:hAnsi="宋体" w:eastAsia="宋体" w:cs="宋体"/>
          <w:color w:val="auto"/>
          <w:sz w:val="24"/>
          <w:szCs w:val="24"/>
          <w:lang w:eastAsia="zh-CN"/>
        </w:rPr>
        <w:t>竞标文件需提供系统详细图文介绍。系统实施验收参照本技术文档及竞标文件提供的图文介绍为依据。</w:t>
      </w:r>
    </w:p>
    <w:p w14:paraId="1B2DC104">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8.4</w:t>
      </w:r>
      <w:r>
        <w:rPr>
          <w:rFonts w:hint="eastAsia" w:ascii="宋体" w:hAnsi="宋体" w:eastAsia="宋体" w:cs="宋体"/>
          <w:color w:val="auto"/>
          <w:sz w:val="24"/>
          <w:szCs w:val="24"/>
        </w:rPr>
        <w:t>如项目功能二次开发内容涉及我院采购的第三方产品，请在标书内标明哪些功能的实现需要二次开发接口。</w:t>
      </w:r>
    </w:p>
    <w:p w14:paraId="6096A4B2">
      <w:pPr>
        <w:pStyle w:val="2"/>
        <w:pageBreakBefore w:val="0"/>
        <w:widowControl w:val="0"/>
        <w:numPr>
          <w:ilvl w:val="0"/>
          <w:numId w:val="0"/>
        </w:numPr>
        <w:kinsoku/>
        <w:wordWrap/>
        <w:overflowPunct/>
        <w:topLinePunct w:val="0"/>
        <w:autoSpaceDE/>
        <w:autoSpaceDN/>
        <w:bidi w:val="0"/>
        <w:adjustRightInd/>
        <w:snapToGrid/>
        <w:spacing w:before="0" w:after="0" w:line="312" w:lineRule="auto"/>
        <w:textAlignment w:val="auto"/>
        <w:rPr>
          <w:rFonts w:ascii="宋体" w:hAnsi="宋体"/>
          <w:bCs w:val="0"/>
          <w:sz w:val="32"/>
          <w:szCs w:val="32"/>
        </w:rPr>
      </w:pPr>
      <w:r>
        <w:rPr>
          <w:rFonts w:hint="eastAsia" w:ascii="宋体" w:hAnsi="宋体"/>
          <w:bCs w:val="0"/>
          <w:sz w:val="32"/>
          <w:szCs w:val="32"/>
        </w:rPr>
        <w:t>九、付款方式</w:t>
      </w:r>
      <w:bookmarkEnd w:id="9"/>
    </w:p>
    <w:p w14:paraId="0897D7E8">
      <w:pPr>
        <w:pStyle w:val="10"/>
        <w:spacing w:line="360" w:lineRule="auto"/>
        <w:ind w:left="0" w:leftChars="0" w:firstLine="614" w:firstLineChars="256"/>
        <w:jc w:val="both"/>
        <w:rPr>
          <w:color w:val="auto"/>
          <w:sz w:val="24"/>
          <w:lang w:val="en-US"/>
        </w:rPr>
      </w:pPr>
      <w:r>
        <w:rPr>
          <w:rFonts w:hint="eastAsia" w:ascii="宋体" w:hAnsi="宋体" w:eastAsia="宋体" w:cs="微软雅黑"/>
          <w:sz w:val="24"/>
          <w:szCs w:val="24"/>
        </w:rPr>
        <w:t>项目双方签订</w:t>
      </w:r>
      <w:r>
        <w:rPr>
          <w:rFonts w:hint="eastAsia" w:ascii="宋体" w:hAnsi="宋体" w:eastAsia="宋体" w:cs="微软雅黑"/>
          <w:color w:val="auto"/>
          <w:sz w:val="24"/>
          <w:szCs w:val="24"/>
        </w:rPr>
        <w:t>合同，</w:t>
      </w:r>
      <w:r>
        <w:rPr>
          <w:rFonts w:hint="eastAsia" w:ascii="宋体" w:hAnsi="宋体" w:eastAsia="宋体"/>
          <w:color w:val="auto"/>
          <w:sz w:val="24"/>
          <w:szCs w:val="24"/>
          <w:lang w:val="en-US" w:eastAsia="zh-CN"/>
        </w:rPr>
        <w:t>项目上线稳定运行1个月后，</w:t>
      </w:r>
      <w:r>
        <w:rPr>
          <w:rFonts w:hint="eastAsia" w:ascii="宋体" w:hAnsi="宋体" w:eastAsia="宋体" w:cs="微软雅黑"/>
          <w:color w:val="auto"/>
          <w:sz w:val="24"/>
          <w:szCs w:val="24"/>
        </w:rPr>
        <w:t>用户支付合同款项的30%；合同</w:t>
      </w:r>
      <w:r>
        <w:rPr>
          <w:rFonts w:hint="eastAsia" w:ascii="宋体" w:hAnsi="宋体" w:eastAsia="宋体" w:cs="微软雅黑"/>
          <w:color w:val="auto"/>
          <w:sz w:val="24"/>
          <w:szCs w:val="24"/>
          <w:lang w:eastAsia="zh-CN"/>
        </w:rPr>
        <w:t>中所有功能及模块</w:t>
      </w:r>
      <w:r>
        <w:rPr>
          <w:rFonts w:hint="eastAsia" w:ascii="宋体" w:hAnsi="宋体" w:eastAsia="宋体" w:cs="微软雅黑"/>
          <w:color w:val="auto"/>
          <w:sz w:val="24"/>
          <w:szCs w:val="24"/>
        </w:rPr>
        <w:t>实施完毕，</w:t>
      </w:r>
      <w:r>
        <w:rPr>
          <w:rFonts w:hint="eastAsia" w:ascii="宋体" w:hAnsi="宋体" w:eastAsia="宋体" w:cs="微软雅黑"/>
          <w:color w:val="auto"/>
          <w:sz w:val="24"/>
          <w:szCs w:val="24"/>
          <w:lang w:eastAsia="zh-CN"/>
        </w:rPr>
        <w:t>系统</w:t>
      </w:r>
      <w:r>
        <w:rPr>
          <w:rFonts w:hint="eastAsia" w:ascii="宋体" w:hAnsi="宋体" w:eastAsia="宋体" w:cs="微软雅黑"/>
          <w:color w:val="auto"/>
          <w:sz w:val="24"/>
          <w:szCs w:val="24"/>
        </w:rPr>
        <w:t>上线稳定运行3个月后，启动</w:t>
      </w:r>
      <w:r>
        <w:rPr>
          <w:rFonts w:hint="eastAsia" w:ascii="宋体" w:hAnsi="宋体" w:eastAsia="宋体" w:cs="微软雅黑"/>
          <w:color w:val="auto"/>
          <w:sz w:val="24"/>
          <w:szCs w:val="24"/>
          <w:lang w:eastAsia="zh-CN"/>
        </w:rPr>
        <w:t>项目</w:t>
      </w:r>
      <w:r>
        <w:rPr>
          <w:rFonts w:hint="eastAsia" w:ascii="宋体" w:hAnsi="宋体" w:eastAsia="宋体" w:cs="微软雅黑"/>
          <w:color w:val="auto"/>
          <w:sz w:val="24"/>
          <w:szCs w:val="24"/>
        </w:rPr>
        <w:t>验收，验收合格后</w:t>
      </w:r>
      <w:r>
        <w:rPr>
          <w:rFonts w:hint="eastAsia" w:ascii="宋体" w:hAnsi="宋体" w:eastAsia="宋体" w:cs="微软雅黑"/>
          <w:color w:val="auto"/>
          <w:sz w:val="24"/>
          <w:szCs w:val="24"/>
          <w:lang w:eastAsia="zh-CN"/>
        </w:rPr>
        <w:t>甲方支付</w:t>
      </w:r>
      <w:r>
        <w:rPr>
          <w:rFonts w:hint="eastAsia" w:ascii="宋体" w:hAnsi="宋体" w:eastAsia="宋体" w:cs="微软雅黑"/>
          <w:color w:val="auto"/>
          <w:sz w:val="24"/>
          <w:szCs w:val="24"/>
        </w:rPr>
        <w:t>合同款项的60%，自验收合格之日起，</w:t>
      </w:r>
      <w:bookmarkEnd w:id="10"/>
      <w:r>
        <w:rPr>
          <w:rFonts w:hint="eastAsia" w:ascii="宋体" w:hAnsi="宋体" w:eastAsia="宋体"/>
          <w:color w:val="auto"/>
          <w:sz w:val="24"/>
          <w:szCs w:val="24"/>
          <w:lang w:val="en-US" w:eastAsia="zh-CN"/>
        </w:rPr>
        <w:t>稳定运行1年后，甲方支付合同款项的10%（不计利息）。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Thousand"/>
      <w:pStyle w:val="2"/>
      <w:lvlText w:val="%1"/>
      <w:lvlJc w:val="left"/>
      <w:pPr>
        <w:ind w:left="425" w:hanging="425"/>
      </w:pPr>
      <w:rPr>
        <w:rFonts w:hint="eastAsia"/>
      </w:rPr>
    </w:lvl>
    <w:lvl w:ilvl="1" w:tentative="0">
      <w:start w:val="1"/>
      <w:numFmt w:val="chineseCountingThousand"/>
      <w:lvlText w:val="(%2)"/>
      <w:lvlJc w:val="left"/>
      <w:pPr>
        <w:ind w:left="850" w:hanging="567"/>
      </w:pPr>
      <w:rPr>
        <w:rFonts w:hint="eastAsia"/>
      </w:rPr>
    </w:lvl>
    <w:lvl w:ilvl="2" w:tentative="0">
      <w:start w:val="1"/>
      <w:numFmt w:val="decimal"/>
      <w:lvlText w:val="%3."/>
      <w:lvlJc w:val="left"/>
      <w:pPr>
        <w:ind w:left="1356"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OWE0M2Y5OWYwZTYyYWYwNmUzNWIwNzlhMjAzZWIifQ=="/>
  </w:docVars>
  <w:rsids>
    <w:rsidRoot w:val="00000000"/>
    <w:rsid w:val="0C0104A1"/>
    <w:rsid w:val="2007660D"/>
    <w:rsid w:val="20E10E15"/>
    <w:rsid w:val="21A41C3A"/>
    <w:rsid w:val="2B886128"/>
    <w:rsid w:val="33832E1E"/>
    <w:rsid w:val="34251212"/>
    <w:rsid w:val="35096AC1"/>
    <w:rsid w:val="4529137C"/>
    <w:rsid w:val="4C5D11DF"/>
    <w:rsid w:val="55004DFD"/>
    <w:rsid w:val="70CE7706"/>
    <w:rsid w:val="720F4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character" w:default="1" w:styleId="9">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rPr>
      <w:rFonts w:ascii="Times New Roman" w:hAnsi="Times New Roman"/>
      <w:kern w:val="0"/>
      <w:sz w:val="20"/>
      <w:szCs w:val="24"/>
      <w:lang w:val="zh-CN"/>
    </w:rPr>
  </w:style>
  <w:style w:type="paragraph" w:styleId="4">
    <w:name w:val="Body Text Indent 2"/>
    <w:basedOn w:val="1"/>
    <w:qFormat/>
    <w:uiPriority w:val="0"/>
    <w:pPr>
      <w:ind w:firstLine="630"/>
    </w:pPr>
    <w:rPr>
      <w:sz w:val="32"/>
      <w:szCs w:val="20"/>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paragraph" w:customStyle="1" w:styleId="11">
    <w:name w:val="p15"/>
    <w:basedOn w:val="1"/>
    <w:qFormat/>
    <w:uiPriority w:val="0"/>
    <w:pPr>
      <w:widowControl/>
      <w:ind w:firstLine="420"/>
    </w:pPr>
    <w:rPr>
      <w:kern w:val="0"/>
      <w:szCs w:val="21"/>
    </w:rPr>
  </w:style>
  <w:style w:type="character" w:customStyle="1" w:styleId="12">
    <w:name w:val="页眉 字符"/>
    <w:basedOn w:val="9"/>
    <w:link w:val="6"/>
    <w:qFormat/>
    <w:uiPriority w:val="0"/>
    <w:rPr>
      <w:rFonts w:ascii="Calibri" w:hAnsi="Calibri" w:eastAsia="宋体" w:cs="宋体"/>
      <w:kern w:val="2"/>
      <w:sz w:val="18"/>
      <w:szCs w:val="18"/>
    </w:rPr>
  </w:style>
  <w:style w:type="character" w:customStyle="1" w:styleId="13">
    <w:name w:val="页脚 字符"/>
    <w:basedOn w:val="9"/>
    <w:link w:val="5"/>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7700</Words>
  <Characters>8128</Characters>
  <Paragraphs>129</Paragraphs>
  <TotalTime>1</TotalTime>
  <ScaleCrop>false</ScaleCrop>
  <LinksUpToDate>false</LinksUpToDate>
  <CharactersWithSpaces>8155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2021-09-14T03:36:00Z</dcterms:created>
  <dc:creator>LGYY-USER</dc:creator>
  <cp:lastModifiedBy>阿信</cp:lastModifiedBy>
  <dcterms:modified xsi:type="dcterms:W3CDTF">2024-09-01T02:23:26Z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26dd5eb3f09f499193d5ddd06a14a3dc_23</vt:lpwstr>
  </property>
</Properties>
</file>