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0271" w14:textId="21E42F20" w:rsidR="0007193A" w:rsidRDefault="00000000">
      <w:pPr>
        <w:keepNext/>
        <w:keepLines/>
        <w:spacing w:line="312" w:lineRule="auto"/>
        <w:jc w:val="center"/>
        <w:rPr>
          <w:rFonts w:ascii="宋体" w:eastAsia="宋体" w:hAnsi="宋体" w:cs="微软雅黑" w:hint="eastAsia"/>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sidR="006C5D63" w:rsidRPr="006C5D63">
        <w:rPr>
          <w:rFonts w:ascii="宋体" w:eastAsia="宋体" w:hAnsi="宋体" w:cs="微软雅黑" w:hint="eastAsia"/>
          <w:b/>
          <w:bCs/>
          <w:kern w:val="44"/>
          <w:sz w:val="30"/>
          <w:szCs w:val="30"/>
        </w:rPr>
        <w:t>态势感知</w:t>
      </w:r>
      <w:proofErr w:type="gramStart"/>
      <w:r w:rsidR="006C5D63" w:rsidRPr="006C5D63">
        <w:rPr>
          <w:rFonts w:ascii="宋体" w:eastAsia="宋体" w:hAnsi="宋体" w:cs="微软雅黑" w:hint="eastAsia"/>
          <w:b/>
          <w:bCs/>
          <w:kern w:val="44"/>
          <w:sz w:val="30"/>
          <w:szCs w:val="30"/>
        </w:rPr>
        <w:t>平台维保服务</w:t>
      </w:r>
      <w:proofErr w:type="gramEnd"/>
      <w:r w:rsidR="006C5D63" w:rsidRPr="006C5D63">
        <w:rPr>
          <w:rFonts w:ascii="宋体" w:eastAsia="宋体" w:hAnsi="宋体" w:cs="微软雅黑" w:hint="eastAsia"/>
          <w:b/>
          <w:bCs/>
          <w:kern w:val="44"/>
          <w:sz w:val="30"/>
          <w:szCs w:val="30"/>
        </w:rPr>
        <w:t>技术参数要求</w:t>
      </w:r>
    </w:p>
    <w:p w14:paraId="552FA1D6" w14:textId="77777777" w:rsidR="0007193A" w:rsidRDefault="0007193A">
      <w:pPr>
        <w:keepNext/>
        <w:keepLines/>
        <w:spacing w:line="312" w:lineRule="auto"/>
        <w:ind w:leftChars="200" w:left="420"/>
        <w:jc w:val="left"/>
        <w:rPr>
          <w:rFonts w:ascii="宋体" w:eastAsia="宋体" w:hAnsi="宋体" w:cs="微软雅黑" w:hint="eastAsia"/>
          <w:b/>
          <w:bCs/>
          <w:kern w:val="44"/>
          <w:sz w:val="24"/>
          <w:szCs w:val="24"/>
        </w:rPr>
      </w:pPr>
    </w:p>
    <w:bookmarkEnd w:id="0"/>
    <w:p w14:paraId="1F606117" w14:textId="77777777" w:rsidR="0007193A" w:rsidRDefault="00000000">
      <w:pPr>
        <w:pStyle w:val="a9"/>
        <w:numPr>
          <w:ilvl w:val="0"/>
          <w:numId w:val="2"/>
        </w:numPr>
        <w:spacing w:line="312" w:lineRule="auto"/>
        <w:ind w:firstLineChars="0"/>
        <w:rPr>
          <w:rFonts w:ascii="宋体" w:eastAsia="宋体" w:hAnsi="宋体" w:hint="eastAsia"/>
          <w:b/>
          <w:sz w:val="28"/>
          <w:szCs w:val="28"/>
        </w:rPr>
      </w:pPr>
      <w:r>
        <w:rPr>
          <w:rFonts w:ascii="宋体" w:eastAsia="宋体" w:hAnsi="宋体" w:hint="eastAsia"/>
          <w:b/>
          <w:sz w:val="28"/>
          <w:szCs w:val="28"/>
        </w:rPr>
        <w:t>项目背景</w:t>
      </w:r>
    </w:p>
    <w:p w14:paraId="4F797ABC" w14:textId="3833C281" w:rsidR="0007193A" w:rsidRDefault="000A60EA">
      <w:pPr>
        <w:spacing w:line="312" w:lineRule="auto"/>
        <w:ind w:firstLineChars="200" w:firstLine="480"/>
        <w:rPr>
          <w:rFonts w:ascii="宋体" w:eastAsia="宋体" w:hAnsi="宋体" w:hint="eastAsia"/>
          <w:sz w:val="24"/>
          <w:szCs w:val="24"/>
        </w:rPr>
      </w:pPr>
      <w:r w:rsidRPr="000A60EA">
        <w:rPr>
          <w:rFonts w:ascii="宋体" w:eastAsia="宋体" w:hAnsi="宋体" w:hint="eastAsia"/>
          <w:sz w:val="24"/>
          <w:szCs w:val="24"/>
        </w:rPr>
        <w:t>我院目前使用的态势感知平台设备采购于2019年，至今已使用4年，质保期已过期。该平台作为重要的网络安全设备，为我院提供全面的网络安全态势感知与信息安全管理，帮助我院及时发现并应对各类安全威胁与风险。为保证态势感知平台的正常运行，需继续</w:t>
      </w:r>
      <w:proofErr w:type="gramStart"/>
      <w:r w:rsidRPr="000A60EA">
        <w:rPr>
          <w:rFonts w:ascii="宋体" w:eastAsia="宋体" w:hAnsi="宋体" w:hint="eastAsia"/>
          <w:sz w:val="24"/>
          <w:szCs w:val="24"/>
        </w:rPr>
        <w:t>购买维保服务</w:t>
      </w:r>
      <w:proofErr w:type="gramEnd"/>
      <w:r>
        <w:rPr>
          <w:rFonts w:ascii="宋体" w:eastAsia="宋体" w:hAnsi="宋体" w:hint="eastAsia"/>
          <w:sz w:val="24"/>
          <w:szCs w:val="24"/>
        </w:rPr>
        <w:t>。</w:t>
      </w:r>
    </w:p>
    <w:p w14:paraId="02664DCD" w14:textId="77777777" w:rsidR="0007193A" w:rsidRDefault="00000000">
      <w:pPr>
        <w:pStyle w:val="a9"/>
        <w:spacing w:line="312" w:lineRule="auto"/>
        <w:ind w:firstLineChars="0" w:firstLine="0"/>
        <w:rPr>
          <w:rFonts w:ascii="宋体" w:eastAsia="宋体" w:hAnsi="宋体" w:hint="eastAsia"/>
          <w:sz w:val="24"/>
          <w:szCs w:val="24"/>
        </w:rPr>
      </w:pPr>
      <w:r>
        <w:rPr>
          <w:rFonts w:ascii="宋体" w:eastAsia="宋体" w:hAnsi="宋体" w:hint="eastAsia"/>
          <w:b/>
          <w:sz w:val="28"/>
          <w:szCs w:val="28"/>
        </w:rPr>
        <w:t>二、项目建设内容及要求</w:t>
      </w:r>
    </w:p>
    <w:tbl>
      <w:tblPr>
        <w:tblStyle w:val="a8"/>
        <w:tblW w:w="8108" w:type="dxa"/>
        <w:jc w:val="center"/>
        <w:tblLayout w:type="fixed"/>
        <w:tblLook w:val="04A0" w:firstRow="1" w:lastRow="0" w:firstColumn="1" w:lastColumn="0" w:noHBand="0" w:noVBand="1"/>
      </w:tblPr>
      <w:tblGrid>
        <w:gridCol w:w="698"/>
        <w:gridCol w:w="1646"/>
        <w:gridCol w:w="4181"/>
        <w:gridCol w:w="889"/>
        <w:gridCol w:w="694"/>
      </w:tblGrid>
      <w:tr w:rsidR="0007193A" w14:paraId="58F1AC99" w14:textId="77777777" w:rsidTr="00C43CD2">
        <w:trPr>
          <w:jc w:val="center"/>
        </w:trPr>
        <w:tc>
          <w:tcPr>
            <w:tcW w:w="698" w:type="dxa"/>
          </w:tcPr>
          <w:p w14:paraId="29C35A3C"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序号</w:t>
            </w:r>
          </w:p>
        </w:tc>
        <w:tc>
          <w:tcPr>
            <w:tcW w:w="1646" w:type="dxa"/>
          </w:tcPr>
          <w:p w14:paraId="46698272"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模块</w:t>
            </w:r>
          </w:p>
        </w:tc>
        <w:tc>
          <w:tcPr>
            <w:tcW w:w="4181" w:type="dxa"/>
          </w:tcPr>
          <w:p w14:paraId="58BE274E"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内容描述</w:t>
            </w:r>
          </w:p>
        </w:tc>
        <w:tc>
          <w:tcPr>
            <w:tcW w:w="889" w:type="dxa"/>
          </w:tcPr>
          <w:p w14:paraId="11F6B7A7"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数量</w:t>
            </w:r>
          </w:p>
        </w:tc>
        <w:tc>
          <w:tcPr>
            <w:tcW w:w="694" w:type="dxa"/>
          </w:tcPr>
          <w:p w14:paraId="40F02CC1"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单位</w:t>
            </w:r>
          </w:p>
        </w:tc>
      </w:tr>
      <w:tr w:rsidR="0007193A" w14:paraId="3423CA92" w14:textId="77777777" w:rsidTr="00C43CD2">
        <w:trPr>
          <w:jc w:val="center"/>
        </w:trPr>
        <w:tc>
          <w:tcPr>
            <w:tcW w:w="698" w:type="dxa"/>
            <w:vAlign w:val="center"/>
          </w:tcPr>
          <w:p w14:paraId="4A77442C" w14:textId="77777777" w:rsidR="0007193A" w:rsidRDefault="00000000">
            <w:pPr>
              <w:spacing w:line="312" w:lineRule="auto"/>
              <w:jc w:val="center"/>
              <w:rPr>
                <w:rFonts w:ascii="宋体" w:eastAsia="宋体" w:hAnsi="宋体" w:hint="eastAsia"/>
                <w:sz w:val="24"/>
                <w:szCs w:val="24"/>
              </w:rPr>
            </w:pPr>
            <w:r>
              <w:rPr>
                <w:rFonts w:ascii="宋体" w:eastAsia="宋体" w:hAnsi="宋体" w:hint="eastAsia"/>
                <w:sz w:val="24"/>
                <w:szCs w:val="24"/>
              </w:rPr>
              <w:t>1</w:t>
            </w:r>
          </w:p>
        </w:tc>
        <w:tc>
          <w:tcPr>
            <w:tcW w:w="1646" w:type="dxa"/>
            <w:vAlign w:val="center"/>
          </w:tcPr>
          <w:p w14:paraId="12935B95" w14:textId="395D0CAB" w:rsidR="0007193A" w:rsidRDefault="0041455C">
            <w:pPr>
              <w:spacing w:line="312" w:lineRule="auto"/>
              <w:jc w:val="left"/>
              <w:rPr>
                <w:rFonts w:ascii="宋体" w:eastAsia="宋体" w:hAnsi="宋体" w:hint="eastAsia"/>
                <w:sz w:val="24"/>
                <w:szCs w:val="24"/>
              </w:rPr>
            </w:pPr>
            <w:proofErr w:type="gramStart"/>
            <w:r>
              <w:rPr>
                <w:rFonts w:ascii="宋体" w:eastAsia="宋体" w:hAnsi="宋体" w:hint="eastAsia"/>
                <w:sz w:val="24"/>
                <w:szCs w:val="24"/>
              </w:rPr>
              <w:t>维保服务</w:t>
            </w:r>
            <w:proofErr w:type="gramEnd"/>
          </w:p>
        </w:tc>
        <w:tc>
          <w:tcPr>
            <w:tcW w:w="4181" w:type="dxa"/>
          </w:tcPr>
          <w:p w14:paraId="6D9B378F" w14:textId="7C5C8B4D" w:rsidR="0007193A" w:rsidRDefault="0099692C" w:rsidP="000A60EA">
            <w:pPr>
              <w:pStyle w:val="a0"/>
              <w:rPr>
                <w:lang w:val="en-US"/>
              </w:rPr>
            </w:pPr>
            <w:r w:rsidRPr="0099692C">
              <w:rPr>
                <w:rFonts w:ascii="宋体" w:eastAsia="宋体" w:hAnsi="宋体" w:hint="eastAsia"/>
                <w:kern w:val="2"/>
                <w:sz w:val="24"/>
                <w:lang w:val="en-US"/>
              </w:rPr>
              <w:t>维</w:t>
            </w:r>
            <w:r w:rsidR="003443C9">
              <w:rPr>
                <w:rFonts w:ascii="宋体" w:eastAsia="宋体" w:hAnsi="宋体" w:hint="eastAsia"/>
                <w:kern w:val="2"/>
                <w:sz w:val="24"/>
                <w:lang w:val="en-US"/>
              </w:rPr>
              <w:t>保</w:t>
            </w:r>
            <w:r w:rsidR="000A60EA" w:rsidRPr="0099692C">
              <w:rPr>
                <w:rFonts w:ascii="宋体" w:eastAsia="宋体" w:hAnsi="宋体" w:hint="eastAsia"/>
                <w:kern w:val="2"/>
                <w:sz w:val="24"/>
                <w:lang w:val="en-US"/>
              </w:rPr>
              <w:t>期内，</w:t>
            </w:r>
            <w:r w:rsidR="00FD0B57" w:rsidRPr="00C9608D">
              <w:rPr>
                <w:rFonts w:ascii="宋体" w:hAnsi="宋体" w:cs="宋体" w:hint="eastAsia"/>
                <w:sz w:val="24"/>
              </w:rPr>
              <w:t>提供</w:t>
            </w:r>
            <w:r w:rsidR="00FD0B57" w:rsidRPr="000A60EA">
              <w:rPr>
                <w:rFonts w:ascii="宋体" w:eastAsia="宋体" w:hAnsi="宋体" w:hint="eastAsia"/>
                <w:sz w:val="24"/>
              </w:rPr>
              <w:t>态势感知平台</w:t>
            </w:r>
            <w:r w:rsidR="00FD0B57">
              <w:rPr>
                <w:rFonts w:ascii="宋体" w:eastAsia="宋体" w:hAnsi="宋体" w:hint="eastAsia"/>
                <w:sz w:val="24"/>
              </w:rPr>
              <w:t>的</w:t>
            </w:r>
            <w:r w:rsidR="00FD0B57" w:rsidRPr="00C9608D">
              <w:rPr>
                <w:rFonts w:ascii="宋体" w:hAnsi="宋体" w:cs="宋体" w:hint="eastAsia"/>
                <w:sz w:val="24"/>
              </w:rPr>
              <w:t>硬件维保、</w:t>
            </w:r>
            <w:proofErr w:type="gramStart"/>
            <w:r w:rsidR="00FD0B57" w:rsidRPr="00C9608D">
              <w:rPr>
                <w:rFonts w:ascii="宋体" w:hAnsi="宋体" w:cs="宋体" w:hint="eastAsia"/>
                <w:sz w:val="24"/>
              </w:rPr>
              <w:t>软件维保和</w:t>
            </w:r>
            <w:proofErr w:type="gramEnd"/>
            <w:r w:rsidR="00FD0B57" w:rsidRPr="00C9608D">
              <w:rPr>
                <w:rFonts w:ascii="宋体" w:hAnsi="宋体" w:cs="宋体" w:hint="eastAsia"/>
                <w:sz w:val="24"/>
              </w:rPr>
              <w:t>规则库升级服务</w:t>
            </w:r>
            <w:r w:rsidR="00FD0B57">
              <w:rPr>
                <w:rFonts w:ascii="宋体" w:hAnsi="宋体" w:cs="宋体" w:hint="eastAsia"/>
                <w:sz w:val="24"/>
              </w:rPr>
              <w:t>；提供</w:t>
            </w:r>
            <w:r w:rsidR="000A60EA" w:rsidRPr="0099692C">
              <w:rPr>
                <w:rFonts w:ascii="宋体" w:eastAsia="宋体" w:hAnsi="宋体" w:hint="eastAsia"/>
                <w:kern w:val="2"/>
                <w:sz w:val="24"/>
                <w:lang w:val="en-US"/>
              </w:rPr>
              <w:t>原厂技术人员做到24小时全天候电话响应，在接到设备故障通知后，原厂技术人员应在30分钟内响应，远程技术支持无法解决的，4小时内原厂工程师需到达现场处理，如现场仍不能解决问题，24小时内免费提供同档次或更高档次的备用设备解决问题。</w:t>
            </w:r>
          </w:p>
        </w:tc>
        <w:tc>
          <w:tcPr>
            <w:tcW w:w="889" w:type="dxa"/>
            <w:vAlign w:val="center"/>
          </w:tcPr>
          <w:p w14:paraId="76AF4D0D" w14:textId="5A6E79AE" w:rsidR="0007193A" w:rsidRDefault="0041455C">
            <w:pPr>
              <w:spacing w:line="312" w:lineRule="auto"/>
              <w:jc w:val="left"/>
              <w:rPr>
                <w:rFonts w:ascii="宋体" w:eastAsia="宋体" w:hAnsi="宋体" w:hint="eastAsia"/>
                <w:sz w:val="24"/>
                <w:szCs w:val="24"/>
              </w:rPr>
            </w:pPr>
            <w:r>
              <w:rPr>
                <w:rFonts w:ascii="宋体" w:eastAsia="宋体" w:hAnsi="宋体" w:hint="eastAsia"/>
                <w:sz w:val="24"/>
                <w:szCs w:val="24"/>
              </w:rPr>
              <w:t>3</w:t>
            </w:r>
          </w:p>
        </w:tc>
        <w:tc>
          <w:tcPr>
            <w:tcW w:w="694" w:type="dxa"/>
            <w:vAlign w:val="center"/>
          </w:tcPr>
          <w:p w14:paraId="3E2BDF56" w14:textId="19C5B81E" w:rsidR="0007193A" w:rsidRDefault="0041455C">
            <w:pPr>
              <w:spacing w:line="312" w:lineRule="auto"/>
              <w:jc w:val="left"/>
              <w:rPr>
                <w:rFonts w:ascii="宋体" w:eastAsia="宋体" w:hAnsi="宋体" w:hint="eastAsia"/>
                <w:sz w:val="24"/>
                <w:szCs w:val="24"/>
              </w:rPr>
            </w:pPr>
            <w:r>
              <w:rPr>
                <w:rFonts w:ascii="宋体" w:eastAsia="宋体" w:hAnsi="宋体" w:hint="eastAsia"/>
                <w:sz w:val="24"/>
                <w:szCs w:val="24"/>
              </w:rPr>
              <w:t>年</w:t>
            </w:r>
          </w:p>
        </w:tc>
      </w:tr>
    </w:tbl>
    <w:p w14:paraId="06148B24" w14:textId="77777777" w:rsidR="0007193A" w:rsidRDefault="0007193A">
      <w:pPr>
        <w:pStyle w:val="a0"/>
        <w:spacing w:after="0" w:line="312" w:lineRule="auto"/>
        <w:rPr>
          <w:lang w:val="en-US"/>
        </w:rPr>
      </w:pPr>
    </w:p>
    <w:p w14:paraId="5D2A9947" w14:textId="77777777" w:rsidR="0007193A" w:rsidRDefault="00000000">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三、对接口及系统改造的要求</w:t>
      </w:r>
    </w:p>
    <w:p w14:paraId="46471149" w14:textId="77777777" w:rsidR="0007193A" w:rsidRDefault="00000000">
      <w:pPr>
        <w:spacing w:line="312" w:lineRule="auto"/>
        <w:rPr>
          <w:rFonts w:ascii="宋体" w:eastAsia="宋体" w:hAnsi="宋体" w:cs="宋体" w:hint="eastAsia"/>
          <w:b/>
          <w:bCs/>
          <w:sz w:val="24"/>
          <w:szCs w:val="24"/>
        </w:rPr>
      </w:pPr>
      <w:r>
        <w:rPr>
          <w:rFonts w:ascii="宋体" w:eastAsia="宋体" w:hAnsi="宋体" w:cs="宋体" w:hint="eastAsia"/>
          <w:b/>
          <w:bCs/>
          <w:sz w:val="24"/>
          <w:szCs w:val="24"/>
        </w:rPr>
        <w:tab/>
        <w:t>质保期和维保期内免费实现以下要求：</w:t>
      </w:r>
    </w:p>
    <w:p w14:paraId="2F6EE4DA"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4C4E5609"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7447851D"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w:t>
      </w:r>
      <w:r>
        <w:rPr>
          <w:rFonts w:ascii="宋体" w:eastAsia="宋体" w:hAnsi="宋体" w:cs="宋体" w:hint="eastAsia"/>
          <w:sz w:val="24"/>
          <w:lang w:val="en-US"/>
        </w:rPr>
        <w:lastRenderedPageBreak/>
        <w:t>网络攻防演练中的安全防护要求以及医院其他需要评审的信息化技术改造服务要求；</w:t>
      </w:r>
    </w:p>
    <w:p w14:paraId="76CA8E50"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53C278BD" w14:textId="77777777" w:rsidR="0007193A" w:rsidRDefault="00000000">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3.5免费提供医院新增业务信息系统的对接、免费实现医院上级管理部门要求的系统接口对接要求。</w:t>
      </w:r>
    </w:p>
    <w:p w14:paraId="669ED73B" w14:textId="77777777" w:rsidR="0007193A" w:rsidRPr="007003A3" w:rsidRDefault="00000000" w:rsidP="007003A3">
      <w:pPr>
        <w:pStyle w:val="a0"/>
        <w:spacing w:after="0" w:line="312" w:lineRule="auto"/>
        <w:ind w:firstLine="420"/>
        <w:rPr>
          <w:rFonts w:ascii="宋体" w:eastAsia="宋体" w:hAnsi="宋体" w:cs="宋体" w:hint="eastAsia"/>
          <w:sz w:val="24"/>
          <w:lang w:val="en-US"/>
        </w:rPr>
      </w:pPr>
      <w:r w:rsidRPr="007003A3">
        <w:rPr>
          <w:rFonts w:ascii="宋体" w:eastAsia="宋体" w:hAnsi="宋体" w:cs="宋体" w:hint="eastAsia"/>
          <w:sz w:val="24"/>
          <w:lang w:val="en-US"/>
        </w:rPr>
        <w:t>3.6免费系统改造</w:t>
      </w:r>
      <w:proofErr w:type="gramStart"/>
      <w:r w:rsidRPr="007003A3">
        <w:rPr>
          <w:rFonts w:ascii="宋体" w:eastAsia="宋体" w:hAnsi="宋体" w:cs="宋体" w:hint="eastAsia"/>
          <w:sz w:val="24"/>
          <w:lang w:val="en-US"/>
        </w:rPr>
        <w:t>支持信创</w:t>
      </w:r>
      <w:proofErr w:type="gramEnd"/>
      <w:r w:rsidRPr="007003A3">
        <w:rPr>
          <w:rFonts w:ascii="宋体" w:eastAsia="宋体" w:hAnsi="宋体" w:cs="宋体" w:hint="eastAsia"/>
          <w:sz w:val="24"/>
          <w:lang w:val="en-US"/>
        </w:rPr>
        <w:t>国产电脑及服务器。</w:t>
      </w:r>
    </w:p>
    <w:p w14:paraId="76B3D3D6" w14:textId="77777777" w:rsidR="0007193A" w:rsidRPr="007003A3" w:rsidRDefault="00000000">
      <w:pPr>
        <w:pStyle w:val="a0"/>
        <w:spacing w:after="0" w:line="312" w:lineRule="auto"/>
        <w:ind w:firstLine="420"/>
        <w:rPr>
          <w:rFonts w:ascii="宋体" w:eastAsia="宋体" w:hAnsi="宋体" w:cs="宋体" w:hint="eastAsia"/>
          <w:sz w:val="24"/>
          <w:lang w:val="en-US"/>
        </w:rPr>
      </w:pPr>
      <w:r w:rsidRPr="007003A3">
        <w:rPr>
          <w:rFonts w:ascii="宋体" w:eastAsia="宋体" w:hAnsi="宋体" w:cs="宋体" w:hint="eastAsia"/>
          <w:sz w:val="24"/>
          <w:lang w:val="en-US"/>
        </w:rPr>
        <w:t>3.7使用不限定用户数、并发数、不限定医疗集团</w:t>
      </w:r>
      <w:proofErr w:type="gramStart"/>
      <w:r w:rsidRPr="007003A3">
        <w:rPr>
          <w:rFonts w:ascii="宋体" w:eastAsia="宋体" w:hAnsi="宋体" w:cs="宋体" w:hint="eastAsia"/>
          <w:sz w:val="24"/>
          <w:lang w:val="en-US"/>
        </w:rPr>
        <w:t>内部及院区</w:t>
      </w:r>
      <w:proofErr w:type="gramEnd"/>
      <w:r w:rsidRPr="007003A3">
        <w:rPr>
          <w:rFonts w:ascii="宋体" w:eastAsia="宋体" w:hAnsi="宋体" w:cs="宋体" w:hint="eastAsia"/>
          <w:sz w:val="24"/>
          <w:lang w:val="en-US"/>
        </w:rPr>
        <w:t>使用。</w:t>
      </w:r>
    </w:p>
    <w:p w14:paraId="27CC7FE1" w14:textId="716EAE6B" w:rsidR="0007193A" w:rsidRDefault="00000000">
      <w:pPr>
        <w:pStyle w:val="1"/>
        <w:numPr>
          <w:ilvl w:val="0"/>
          <w:numId w:val="0"/>
        </w:numPr>
        <w:spacing w:before="0" w:after="0" w:line="312" w:lineRule="auto"/>
        <w:rPr>
          <w:rFonts w:ascii="宋体" w:hAnsi="宋体" w:hint="eastAsia"/>
          <w:bCs w:val="0"/>
          <w:sz w:val="32"/>
          <w:szCs w:val="32"/>
        </w:rPr>
      </w:pPr>
      <w:r>
        <w:rPr>
          <w:rFonts w:ascii="宋体" w:hAnsi="宋体" w:hint="eastAsia"/>
          <w:bCs w:val="0"/>
          <w:sz w:val="32"/>
          <w:szCs w:val="32"/>
        </w:rPr>
        <w:t>四、售后服务及其他要求</w:t>
      </w:r>
    </w:p>
    <w:p w14:paraId="52EAD551" w14:textId="3D22B48C" w:rsidR="00C9608D" w:rsidRDefault="000A60EA">
      <w:pPr>
        <w:spacing w:line="312" w:lineRule="auto"/>
        <w:ind w:firstLine="420"/>
        <w:jc w:val="left"/>
        <w:rPr>
          <w:rFonts w:ascii="宋体" w:hAnsi="宋体" w:cs="宋体" w:hint="eastAsia"/>
          <w:sz w:val="24"/>
          <w:szCs w:val="24"/>
        </w:rPr>
      </w:pPr>
      <w:r>
        <w:rPr>
          <w:rFonts w:ascii="宋体" w:hAnsi="宋体" w:cs="宋体" w:hint="eastAsia"/>
          <w:sz w:val="24"/>
          <w:szCs w:val="24"/>
        </w:rPr>
        <w:t>4.</w:t>
      </w:r>
      <w:r w:rsidR="00C9608D">
        <w:rPr>
          <w:rFonts w:ascii="宋体" w:hAnsi="宋体" w:cs="宋体" w:hint="eastAsia"/>
          <w:sz w:val="24"/>
          <w:szCs w:val="24"/>
        </w:rPr>
        <w:t>1提供</w:t>
      </w:r>
      <w:r w:rsidR="00C9608D" w:rsidRPr="00C9608D">
        <w:rPr>
          <w:rFonts w:ascii="宋体" w:hAnsi="宋体" w:cs="宋体" w:hint="eastAsia"/>
          <w:sz w:val="24"/>
          <w:szCs w:val="24"/>
        </w:rPr>
        <w:t>免费上门维护服务，并承诺免费送货上门，原厂工程师负责调试，使网络满足甲方要求，乙方无偿更换由于非人为原因而发生故障的设备，提供硬件维保、</w:t>
      </w:r>
      <w:proofErr w:type="gramStart"/>
      <w:r w:rsidR="00C9608D" w:rsidRPr="00C9608D">
        <w:rPr>
          <w:rFonts w:ascii="宋体" w:hAnsi="宋体" w:cs="宋体" w:hint="eastAsia"/>
          <w:sz w:val="24"/>
          <w:szCs w:val="24"/>
        </w:rPr>
        <w:t>软件维保和</w:t>
      </w:r>
      <w:proofErr w:type="gramEnd"/>
      <w:r w:rsidR="00C9608D" w:rsidRPr="00C9608D">
        <w:rPr>
          <w:rFonts w:ascii="宋体" w:hAnsi="宋体" w:cs="宋体" w:hint="eastAsia"/>
          <w:sz w:val="24"/>
          <w:szCs w:val="24"/>
        </w:rPr>
        <w:t>规则库升级服务</w:t>
      </w:r>
      <w:r w:rsidR="00FD0B57">
        <w:rPr>
          <w:rFonts w:ascii="宋体" w:hAnsi="宋体" w:cs="宋体" w:hint="eastAsia"/>
          <w:sz w:val="24"/>
          <w:szCs w:val="24"/>
        </w:rPr>
        <w:t>。</w:t>
      </w:r>
    </w:p>
    <w:p w14:paraId="57EFDCA8" w14:textId="3E1C364C" w:rsidR="0007193A" w:rsidRDefault="00C9608D">
      <w:pPr>
        <w:spacing w:line="312" w:lineRule="auto"/>
        <w:ind w:firstLine="420"/>
        <w:jc w:val="left"/>
        <w:rPr>
          <w:rFonts w:ascii="宋体" w:hAnsi="宋体" w:cs="宋体" w:hint="eastAsia"/>
          <w:sz w:val="24"/>
          <w:szCs w:val="24"/>
        </w:rPr>
      </w:pPr>
      <w:r>
        <w:rPr>
          <w:rFonts w:ascii="宋体" w:hAnsi="宋体" w:cs="宋体" w:hint="eastAsia"/>
          <w:sz w:val="24"/>
          <w:szCs w:val="24"/>
        </w:rPr>
        <w:t>4.2原厂技术人员免费提供售后服务，含电话支持、现场响应、远程操作、网上客</w:t>
      </w:r>
      <w:proofErr w:type="gramStart"/>
      <w:r>
        <w:rPr>
          <w:rFonts w:ascii="宋体" w:hAnsi="宋体" w:cs="宋体" w:hint="eastAsia"/>
          <w:sz w:val="24"/>
          <w:szCs w:val="24"/>
        </w:rPr>
        <w:t>服中心</w:t>
      </w:r>
      <w:proofErr w:type="gramEnd"/>
      <w:r>
        <w:rPr>
          <w:rFonts w:ascii="宋体" w:hAnsi="宋体" w:cs="宋体" w:hint="eastAsia"/>
          <w:sz w:val="24"/>
          <w:szCs w:val="24"/>
        </w:rPr>
        <w:t>等多种方式服务，应做到7×24小时全天候电话</w:t>
      </w:r>
      <w:proofErr w:type="gramStart"/>
      <w:r>
        <w:rPr>
          <w:rFonts w:ascii="宋体" w:hAnsi="宋体" w:cs="宋体" w:hint="eastAsia"/>
          <w:sz w:val="24"/>
          <w:szCs w:val="24"/>
        </w:rPr>
        <w:t>或微信等</w:t>
      </w:r>
      <w:proofErr w:type="gramEnd"/>
      <w:r>
        <w:rPr>
          <w:rFonts w:ascii="宋体" w:hAnsi="宋体" w:cs="宋体" w:hint="eastAsia"/>
          <w:sz w:val="24"/>
          <w:szCs w:val="24"/>
        </w:rPr>
        <w:t>常用联系方式响应。</w:t>
      </w:r>
      <w:bookmarkStart w:id="1" w:name="_Toc507405798"/>
      <w:r>
        <w:rPr>
          <w:rFonts w:ascii="宋体" w:hAnsi="宋体" w:cs="宋体" w:hint="eastAsia"/>
          <w:sz w:val="24"/>
          <w:szCs w:val="24"/>
        </w:rPr>
        <w:t>当出现故障时，接到故障通知后，原厂技术人员应在30分钟内响应，远程技术支持无法解决的，</w:t>
      </w:r>
      <w:r w:rsidR="000A60EA">
        <w:rPr>
          <w:rFonts w:ascii="宋体" w:hAnsi="宋体" w:cs="宋体" w:hint="eastAsia"/>
          <w:sz w:val="24"/>
          <w:szCs w:val="24"/>
        </w:rPr>
        <w:t>4</w:t>
      </w:r>
      <w:r>
        <w:rPr>
          <w:rFonts w:ascii="宋体" w:hAnsi="宋体" w:cs="宋体" w:hint="eastAsia"/>
          <w:sz w:val="24"/>
          <w:szCs w:val="24"/>
        </w:rPr>
        <w:t>小时内需到达现场处理修复，并调查分析事故原因，如现场仍不能解决问题，需24小时内免费提供同档次或更高档次的备用设备解决问题。</w:t>
      </w:r>
    </w:p>
    <w:p w14:paraId="27F0F917" w14:textId="6FE56339" w:rsidR="0007193A" w:rsidRDefault="000A60EA">
      <w:pPr>
        <w:spacing w:line="312" w:lineRule="auto"/>
        <w:ind w:firstLine="420"/>
        <w:jc w:val="left"/>
        <w:rPr>
          <w:rFonts w:ascii="宋体" w:hAnsi="宋体" w:cs="宋体" w:hint="eastAsia"/>
          <w:sz w:val="24"/>
          <w:szCs w:val="24"/>
        </w:rPr>
      </w:pPr>
      <w:r>
        <w:rPr>
          <w:rFonts w:ascii="宋体" w:eastAsia="宋体" w:hAnsi="宋体" w:cs="微软雅黑" w:hint="eastAsia"/>
          <w:sz w:val="24"/>
          <w:szCs w:val="24"/>
        </w:rPr>
        <w:t>4.</w:t>
      </w:r>
      <w:r w:rsidR="00C9608D">
        <w:rPr>
          <w:rFonts w:ascii="宋体" w:eastAsia="宋体" w:hAnsi="宋体" w:cs="微软雅黑" w:hint="eastAsia"/>
          <w:sz w:val="24"/>
          <w:szCs w:val="24"/>
        </w:rPr>
        <w:t>3</w:t>
      </w:r>
      <w:r>
        <w:rPr>
          <w:rFonts w:ascii="宋体" w:hAnsi="宋体" w:cs="宋体" w:hint="eastAsia"/>
          <w:sz w:val="24"/>
          <w:szCs w:val="24"/>
        </w:rPr>
        <w:t>供应商提供原厂技术人员定期回访服务，定期通过电话或其他方式访问用户，了解产品使用情况及网络安全情况，须在每</w:t>
      </w:r>
      <w:r w:rsidR="008105D1">
        <w:rPr>
          <w:rFonts w:ascii="宋体" w:hAnsi="宋体" w:cs="宋体" w:hint="eastAsia"/>
          <w:sz w:val="24"/>
          <w:szCs w:val="24"/>
        </w:rPr>
        <w:t>年</w:t>
      </w:r>
      <w:r>
        <w:rPr>
          <w:rFonts w:ascii="宋体" w:hAnsi="宋体" w:cs="宋体" w:hint="eastAsia"/>
          <w:sz w:val="24"/>
          <w:szCs w:val="24"/>
        </w:rPr>
        <w:t>进行一次现场巡检，并形成书面巡检服务报告，加盖有效公章并反馈给我院（要求提供巡检报告模板，内容涉及此项目相关设备的运行情况及现场巡检照片）。</w:t>
      </w:r>
    </w:p>
    <w:p w14:paraId="6290BBF3" w14:textId="638A6AD6" w:rsidR="0007193A" w:rsidRDefault="008105D1">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五、违约责任</w:t>
      </w:r>
    </w:p>
    <w:p w14:paraId="658735E3" w14:textId="16AF977D" w:rsidR="0007193A"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5.1投标方所提供的产品/软件规格、技术标准、材料等质量不合格的，应及时更换，更换不及时的按逾期交货/交付处罚；因质量问题我院不同意接收，投标方应向我院支付违约货款额5%违约金并赔偿我院经济损失。</w:t>
      </w:r>
    </w:p>
    <w:p w14:paraId="0F2B32CA" w14:textId="3D2F0527" w:rsidR="0007193A"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5.2若投标方提供的产品或软件侵犯了第三方合法权益而引发的任何纠纷或诉讼，均由投标方负责交涉并承担全部责任。</w:t>
      </w:r>
    </w:p>
    <w:p w14:paraId="07482363" w14:textId="314D4781" w:rsidR="0007193A" w:rsidRDefault="008105D1">
      <w:pPr>
        <w:spacing w:line="312" w:lineRule="auto"/>
        <w:ind w:firstLine="420"/>
        <w:jc w:val="left"/>
        <w:rPr>
          <w:rFonts w:ascii="宋体" w:eastAsia="宋体" w:hAnsi="宋体" w:cs="宋体" w:hint="eastAsia"/>
          <w:sz w:val="24"/>
          <w:szCs w:val="24"/>
        </w:rPr>
      </w:pPr>
      <w:r>
        <w:rPr>
          <w:rFonts w:ascii="宋体" w:eastAsia="宋体" w:hAnsi="宋体" w:cs="宋体" w:hint="eastAsia"/>
          <w:sz w:val="24"/>
          <w:szCs w:val="24"/>
        </w:rPr>
        <w:t>5.3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3AD8C6AA" w14:textId="21199860" w:rsidR="008105D1" w:rsidRDefault="008105D1" w:rsidP="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5.4任何一方违反本技术要求中“保密、廉洁条款”要求的，应承担相应的</w:t>
      </w:r>
      <w:r>
        <w:rPr>
          <w:rFonts w:ascii="宋体" w:eastAsia="宋体" w:hAnsi="宋体" w:cs="宋体" w:hint="eastAsia"/>
          <w:sz w:val="24"/>
          <w:lang w:val="en-US"/>
        </w:rPr>
        <w:lastRenderedPageBreak/>
        <w:t>违约责任并赔偿由此造成的损失，损失累计金额超过合同款项的5%的，损失方同时有权终止合同并收回已付款项。</w:t>
      </w:r>
    </w:p>
    <w:p w14:paraId="21453CD8" w14:textId="78EC7E40"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5.5售后服务违约：</w:t>
      </w:r>
    </w:p>
    <w:p w14:paraId="783BFB50" w14:textId="35FB8177"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5.5.1每缺少1次现场巡检记录，投标方应向甲方支付违约金5000元；</w:t>
      </w:r>
    </w:p>
    <w:p w14:paraId="30252BE4" w14:textId="5B022E5D"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5.5.2不能按本技术参数文档第4.2要求中按时提供设备备件的，故障上报24小时不能免费提供同档次或更高档次的备用设备解决问题，每超期一天，按500元/天向甲方支付违约金；</w:t>
      </w:r>
    </w:p>
    <w:p w14:paraId="537139C6" w14:textId="47EC71AC" w:rsidR="0007193A" w:rsidRDefault="008105D1">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5.6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51F70213" w14:textId="77777777" w:rsidR="008105D1" w:rsidRDefault="008105D1">
      <w:pPr>
        <w:pStyle w:val="a0"/>
        <w:spacing w:after="0" w:line="312" w:lineRule="auto"/>
        <w:rPr>
          <w:rFonts w:ascii="宋体" w:eastAsia="宋体" w:hAnsi="宋体" w:cs="宋体" w:hint="eastAsia"/>
          <w:b/>
          <w:bCs/>
          <w:sz w:val="28"/>
          <w:lang w:val="en-US"/>
        </w:rPr>
      </w:pPr>
      <w:bookmarkStart w:id="2" w:name="_Toc507405799"/>
      <w:bookmarkStart w:id="3" w:name="_Toc507405800"/>
      <w:bookmarkEnd w:id="1"/>
      <w:r>
        <w:rPr>
          <w:rFonts w:ascii="宋体" w:eastAsia="宋体" w:hAnsi="宋体" w:cs="宋体" w:hint="eastAsia"/>
          <w:b/>
          <w:bCs/>
          <w:sz w:val="28"/>
          <w:lang w:val="en-US"/>
        </w:rPr>
        <w:t>六、保密、廉洁协议</w:t>
      </w:r>
    </w:p>
    <w:p w14:paraId="0C1771FD" w14:textId="55CF86E4"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7A7CBDA4" w14:textId="05D39A3F"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6.2 双方不得以任何方式向第三方泄露本项目的软件技术、设计方案以及功能配置等内容。</w:t>
      </w:r>
    </w:p>
    <w:p w14:paraId="1E842867" w14:textId="6B99135F"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6.3不以任何方式向第三方泄露在本协议开发实施过程中获取的经济、技术、数据以及双方其他非公开的信息。</w:t>
      </w:r>
    </w:p>
    <w:p w14:paraId="4F0EB994" w14:textId="277A1444"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02F24B85" w14:textId="69521F66" w:rsidR="008105D1" w:rsidRDefault="008105D1">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6.5保密期限自本合同生效之日起永久有效，如乙方需解除保密协议需向甲方提出书面申请，双方协商同意签字确认后方可解除。</w:t>
      </w:r>
    </w:p>
    <w:p w14:paraId="2447DE3F" w14:textId="18B08740" w:rsidR="008105D1" w:rsidRDefault="008105D1">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七、报价</w:t>
      </w:r>
    </w:p>
    <w:p w14:paraId="7425E1D1" w14:textId="30183707" w:rsidR="008105D1" w:rsidRPr="007003A3" w:rsidRDefault="008105D1">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t>7</w:t>
      </w:r>
      <w:r w:rsidRPr="007003A3">
        <w:rPr>
          <w:rFonts w:ascii="宋体" w:eastAsia="宋体" w:hAnsi="宋体" w:cs="宋体" w:hint="eastAsia"/>
          <w:kern w:val="2"/>
          <w:sz w:val="24"/>
          <w:lang w:val="en-US"/>
        </w:rPr>
        <w:t>.1竞标文件按系统模块报价，报价表价格包含系统软硬件费用、产品安装、调试实施、培训费用、产品升级、接口费（包括第三方厂家的接口费）等费用，以及明示所有责任、义务和一切风险。</w:t>
      </w:r>
    </w:p>
    <w:p w14:paraId="6C54F1FB" w14:textId="2BB3A0BB" w:rsidR="008105D1" w:rsidRPr="007003A3" w:rsidRDefault="008105D1">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t>7</w:t>
      </w:r>
      <w:r w:rsidRPr="007003A3">
        <w:rPr>
          <w:rFonts w:ascii="宋体" w:eastAsia="宋体" w:hAnsi="宋体" w:cs="宋体" w:hint="eastAsia"/>
          <w:kern w:val="2"/>
          <w:sz w:val="24"/>
          <w:lang w:val="en-US"/>
        </w:rPr>
        <w:t>.2竞标文件需提供质</w:t>
      </w:r>
      <w:proofErr w:type="gramStart"/>
      <w:r w:rsidRPr="007003A3">
        <w:rPr>
          <w:rFonts w:ascii="宋体" w:eastAsia="宋体" w:hAnsi="宋体" w:cs="宋体" w:hint="eastAsia"/>
          <w:kern w:val="2"/>
          <w:sz w:val="24"/>
          <w:lang w:val="en-US"/>
        </w:rPr>
        <w:t>保期后维保期</w:t>
      </w:r>
      <w:proofErr w:type="gramEnd"/>
      <w:r w:rsidRPr="007003A3">
        <w:rPr>
          <w:rFonts w:ascii="宋体" w:eastAsia="宋体" w:hAnsi="宋体" w:cs="宋体" w:hint="eastAsia"/>
          <w:kern w:val="2"/>
          <w:sz w:val="24"/>
          <w:lang w:val="en-US"/>
        </w:rPr>
        <w:t>方案及费用。</w:t>
      </w:r>
    </w:p>
    <w:p w14:paraId="11D4091F" w14:textId="57713EA9" w:rsidR="008105D1" w:rsidRPr="007003A3" w:rsidRDefault="008105D1">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lastRenderedPageBreak/>
        <w:t>7</w:t>
      </w:r>
      <w:r w:rsidRPr="007003A3">
        <w:rPr>
          <w:rFonts w:ascii="宋体" w:eastAsia="宋体" w:hAnsi="宋体" w:cs="宋体" w:hint="eastAsia"/>
          <w:kern w:val="2"/>
          <w:sz w:val="24"/>
          <w:lang w:val="en-US"/>
        </w:rPr>
        <w:t>.3竞标文件需提供系统详细图文介绍。系统实施验收参照本技术文档及竞标文件提供的图文介绍为依据。</w:t>
      </w:r>
    </w:p>
    <w:p w14:paraId="0E6EA323" w14:textId="297C9D83" w:rsidR="008105D1" w:rsidRPr="008105D1" w:rsidRDefault="008105D1" w:rsidP="008105D1">
      <w:pPr>
        <w:pStyle w:val="a0"/>
        <w:spacing w:after="0" w:line="312" w:lineRule="auto"/>
        <w:rPr>
          <w:rFonts w:ascii="宋体" w:eastAsia="宋体" w:hAnsi="宋体" w:cs="宋体" w:hint="eastAsia"/>
          <w:b/>
          <w:bCs/>
          <w:sz w:val="28"/>
          <w:lang w:val="en-US"/>
        </w:rPr>
      </w:pPr>
      <w:r>
        <w:rPr>
          <w:rFonts w:ascii="宋体" w:eastAsia="宋体" w:hAnsi="宋体" w:cs="宋体" w:hint="eastAsia"/>
          <w:b/>
          <w:bCs/>
          <w:sz w:val="28"/>
          <w:lang w:val="en-US"/>
        </w:rPr>
        <w:t>八</w:t>
      </w:r>
      <w:r w:rsidRPr="008105D1">
        <w:rPr>
          <w:rFonts w:ascii="宋体" w:eastAsia="宋体" w:hAnsi="宋体" w:cs="宋体" w:hint="eastAsia"/>
          <w:b/>
          <w:bCs/>
          <w:sz w:val="28"/>
          <w:lang w:val="en-US"/>
        </w:rPr>
        <w:t>、付款方式</w:t>
      </w:r>
      <w:bookmarkEnd w:id="2"/>
    </w:p>
    <w:p w14:paraId="4F054931" w14:textId="166E1459" w:rsidR="0007193A" w:rsidRPr="00600A41" w:rsidRDefault="008105D1" w:rsidP="00600A41">
      <w:pPr>
        <w:pStyle w:val="a9"/>
        <w:spacing w:line="360" w:lineRule="auto"/>
        <w:ind w:firstLineChars="256" w:firstLine="614"/>
        <w:rPr>
          <w:rFonts w:ascii="宋体" w:eastAsia="宋体" w:hAnsi="宋体" w:cs="宋体" w:hint="eastAsia"/>
          <w:sz w:val="24"/>
          <w:szCs w:val="24"/>
        </w:rPr>
      </w:pPr>
      <w:r w:rsidRPr="007003A3">
        <w:rPr>
          <w:rFonts w:ascii="宋体" w:eastAsia="宋体" w:hAnsi="宋体" w:cs="宋体" w:hint="eastAsia"/>
          <w:sz w:val="24"/>
          <w:szCs w:val="24"/>
        </w:rPr>
        <w:t>项目双方签订合同1个月后，用户</w:t>
      </w:r>
      <w:r w:rsidR="0033643B">
        <w:rPr>
          <w:rFonts w:ascii="宋体" w:eastAsia="宋体" w:hAnsi="宋体" w:cs="宋体" w:hint="eastAsia"/>
          <w:sz w:val="24"/>
          <w:szCs w:val="24"/>
        </w:rPr>
        <w:t>按年</w:t>
      </w:r>
      <w:r w:rsidRPr="007003A3">
        <w:rPr>
          <w:rFonts w:ascii="宋体" w:eastAsia="宋体" w:hAnsi="宋体" w:cs="宋体" w:hint="eastAsia"/>
          <w:sz w:val="24"/>
          <w:szCs w:val="24"/>
        </w:rPr>
        <w:t>支付</w:t>
      </w:r>
      <w:r w:rsidR="00FD0B57">
        <w:rPr>
          <w:rFonts w:ascii="宋体" w:eastAsia="宋体" w:hAnsi="宋体" w:cs="宋体" w:hint="eastAsia"/>
          <w:sz w:val="24"/>
          <w:szCs w:val="24"/>
        </w:rPr>
        <w:t>维保费用</w:t>
      </w:r>
      <w:r w:rsidR="00561782">
        <w:rPr>
          <w:rFonts w:ascii="宋体" w:eastAsia="宋体" w:hAnsi="宋体" w:cs="宋体" w:hint="eastAsia"/>
          <w:sz w:val="24"/>
          <w:szCs w:val="24"/>
        </w:rPr>
        <w:t>，</w:t>
      </w:r>
      <w:r w:rsidR="0033643B">
        <w:rPr>
          <w:rFonts w:ascii="宋体" w:eastAsia="宋体" w:hAnsi="宋体" w:cs="宋体" w:hint="eastAsia"/>
          <w:sz w:val="24"/>
          <w:szCs w:val="24"/>
        </w:rPr>
        <w:t>三年付清</w:t>
      </w:r>
      <w:r w:rsidR="00FD0B57">
        <w:rPr>
          <w:rFonts w:ascii="宋体" w:eastAsia="宋体" w:hAnsi="宋体" w:cs="宋体" w:hint="eastAsia"/>
          <w:sz w:val="24"/>
          <w:szCs w:val="24"/>
        </w:rPr>
        <w:t>全部合同款</w:t>
      </w:r>
      <w:r w:rsidRPr="007003A3">
        <w:rPr>
          <w:rFonts w:ascii="宋体" w:eastAsia="宋体" w:hAnsi="宋体" w:cs="宋体" w:hint="eastAsia"/>
          <w:sz w:val="24"/>
          <w:szCs w:val="24"/>
        </w:rPr>
        <w:t>。</w:t>
      </w:r>
      <w:bookmarkEnd w:id="3"/>
    </w:p>
    <w:sectPr w:rsidR="0007193A" w:rsidRPr="00600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D164" w14:textId="77777777" w:rsidR="00707A0B" w:rsidRDefault="00707A0B" w:rsidP="007B0A33">
      <w:r>
        <w:separator/>
      </w:r>
    </w:p>
  </w:endnote>
  <w:endnote w:type="continuationSeparator" w:id="0">
    <w:p w14:paraId="4D97CA67" w14:textId="77777777" w:rsidR="00707A0B" w:rsidRDefault="00707A0B" w:rsidP="007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34EB9" w14:textId="77777777" w:rsidR="00707A0B" w:rsidRDefault="00707A0B" w:rsidP="007B0A33">
      <w:r>
        <w:separator/>
      </w:r>
    </w:p>
  </w:footnote>
  <w:footnote w:type="continuationSeparator" w:id="0">
    <w:p w14:paraId="0EFB292B" w14:textId="77777777" w:rsidR="00707A0B" w:rsidRDefault="00707A0B" w:rsidP="007B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02741C"/>
    <w:multiLevelType w:val="multilevel"/>
    <w:tmpl w:val="5C0274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0648192">
    <w:abstractNumId w:val="0"/>
  </w:num>
  <w:num w:numId="2" w16cid:durableId="1228951057">
    <w:abstractNumId w:val="1"/>
  </w:num>
  <w:num w:numId="3" w16cid:durableId="51750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DF"/>
    <w:rsid w:val="00011D1F"/>
    <w:rsid w:val="000179D4"/>
    <w:rsid w:val="00044B92"/>
    <w:rsid w:val="0007193A"/>
    <w:rsid w:val="00097A26"/>
    <w:rsid w:val="000A60EA"/>
    <w:rsid w:val="000A6BC9"/>
    <w:rsid w:val="000E2410"/>
    <w:rsid w:val="001531F1"/>
    <w:rsid w:val="0017628E"/>
    <w:rsid w:val="001A11FC"/>
    <w:rsid w:val="001A1C12"/>
    <w:rsid w:val="001B2456"/>
    <w:rsid w:val="001C16C7"/>
    <w:rsid w:val="001C6C2D"/>
    <w:rsid w:val="00227257"/>
    <w:rsid w:val="002A29C0"/>
    <w:rsid w:val="003002A0"/>
    <w:rsid w:val="00306E6E"/>
    <w:rsid w:val="00330377"/>
    <w:rsid w:val="0033643B"/>
    <w:rsid w:val="003443C9"/>
    <w:rsid w:val="003468FE"/>
    <w:rsid w:val="00387F78"/>
    <w:rsid w:val="003E62DF"/>
    <w:rsid w:val="003F6565"/>
    <w:rsid w:val="0041455C"/>
    <w:rsid w:val="00435C7C"/>
    <w:rsid w:val="00481560"/>
    <w:rsid w:val="00491534"/>
    <w:rsid w:val="004D3BA6"/>
    <w:rsid w:val="004D651B"/>
    <w:rsid w:val="00524F60"/>
    <w:rsid w:val="00555C5A"/>
    <w:rsid w:val="00561782"/>
    <w:rsid w:val="005D2A4F"/>
    <w:rsid w:val="005D449A"/>
    <w:rsid w:val="00600A41"/>
    <w:rsid w:val="006245C9"/>
    <w:rsid w:val="00646766"/>
    <w:rsid w:val="006812E9"/>
    <w:rsid w:val="006A3CAE"/>
    <w:rsid w:val="006C202C"/>
    <w:rsid w:val="006C5D63"/>
    <w:rsid w:val="006D5D41"/>
    <w:rsid w:val="006F2A7F"/>
    <w:rsid w:val="007003A3"/>
    <w:rsid w:val="00707A0B"/>
    <w:rsid w:val="00750BB6"/>
    <w:rsid w:val="00793E58"/>
    <w:rsid w:val="007B0A33"/>
    <w:rsid w:val="007E0789"/>
    <w:rsid w:val="008105D1"/>
    <w:rsid w:val="0082787E"/>
    <w:rsid w:val="008A6A12"/>
    <w:rsid w:val="008C322F"/>
    <w:rsid w:val="008E0B47"/>
    <w:rsid w:val="00964E98"/>
    <w:rsid w:val="0099692C"/>
    <w:rsid w:val="009C0AFA"/>
    <w:rsid w:val="00A140D3"/>
    <w:rsid w:val="00A22B3A"/>
    <w:rsid w:val="00A53869"/>
    <w:rsid w:val="00A63AA5"/>
    <w:rsid w:val="00B23726"/>
    <w:rsid w:val="00B759E0"/>
    <w:rsid w:val="00B97840"/>
    <w:rsid w:val="00C26822"/>
    <w:rsid w:val="00C43CD2"/>
    <w:rsid w:val="00C5514B"/>
    <w:rsid w:val="00C9608D"/>
    <w:rsid w:val="00D01B31"/>
    <w:rsid w:val="00D01B62"/>
    <w:rsid w:val="00D22B06"/>
    <w:rsid w:val="00D46C30"/>
    <w:rsid w:val="00D5380E"/>
    <w:rsid w:val="00DC1FBB"/>
    <w:rsid w:val="00DE04C2"/>
    <w:rsid w:val="00E052A9"/>
    <w:rsid w:val="00E1291C"/>
    <w:rsid w:val="00E41CA5"/>
    <w:rsid w:val="00E55752"/>
    <w:rsid w:val="00E61AD4"/>
    <w:rsid w:val="00F13AA1"/>
    <w:rsid w:val="00F20C1F"/>
    <w:rsid w:val="00FA5877"/>
    <w:rsid w:val="00FD0B57"/>
    <w:rsid w:val="00FE1E43"/>
    <w:rsid w:val="038608DA"/>
    <w:rsid w:val="06DF14B2"/>
    <w:rsid w:val="0A791D80"/>
    <w:rsid w:val="0F2A1F3D"/>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E55261B"/>
    <w:rsid w:val="34A02F04"/>
    <w:rsid w:val="367D4F11"/>
    <w:rsid w:val="3A965B44"/>
    <w:rsid w:val="3B4F3BCB"/>
    <w:rsid w:val="3D5B5587"/>
    <w:rsid w:val="3D655CAD"/>
    <w:rsid w:val="3DCF123E"/>
    <w:rsid w:val="3FFE146B"/>
    <w:rsid w:val="41971DBD"/>
    <w:rsid w:val="455A3219"/>
    <w:rsid w:val="480C0CC5"/>
    <w:rsid w:val="49C017DB"/>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9BE23F8"/>
    <w:rsid w:val="6A5B6461"/>
    <w:rsid w:val="711C77D0"/>
    <w:rsid w:val="73051406"/>
    <w:rsid w:val="73F71B2F"/>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75EDB"/>
  <w15:docId w15:val="{8DD0A741-A3C8-489E-8316-2F7ED2E4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Times New Roman" w:hAnsi="Times New Roman"/>
      <w:kern w:val="0"/>
      <w:sz w:val="20"/>
      <w:szCs w:val="24"/>
      <w:lang w:val="zh-CN"/>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5">
    <w:name w:val="页眉 字符"/>
    <w:basedOn w:val="a1"/>
    <w:link w:val="a4"/>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399</Words>
  <Characters>2277</Characters>
  <Application>Microsoft Office Word</Application>
  <DocSecurity>0</DocSecurity>
  <Lines>18</Lines>
  <Paragraphs>5</Paragraphs>
  <ScaleCrop>false</ScaleCrop>
  <Company>Microsoft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dream lin</cp:lastModifiedBy>
  <cp:revision>48</cp:revision>
  <cp:lastPrinted>2024-05-13T01:02:00Z</cp:lastPrinted>
  <dcterms:created xsi:type="dcterms:W3CDTF">2021-09-14T03:36:00Z</dcterms:created>
  <dcterms:modified xsi:type="dcterms:W3CDTF">2024-08-16T00:29:00Z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