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sz w:val="32"/>
          <w:szCs w:val="32"/>
          <w:shd w:val="clear" w:color="auto" w:fill="FFFFFF"/>
          <w:lang w:eastAsia="zh-CN"/>
        </w:rPr>
      </w:pPr>
      <w:r>
        <w:rPr>
          <w:rFonts w:hint="eastAsia" w:ascii="Calibri" w:hAnsi="Calibri" w:eastAsia="宋体" w:cs="Times New Roman"/>
          <w:b/>
          <w:bCs/>
          <w:sz w:val="32"/>
          <w:szCs w:val="32"/>
        </w:rPr>
        <w:t>柳州市工人医院专</w:t>
      </w:r>
      <w:bookmarkStart w:id="0" w:name="_GoBack"/>
      <w:bookmarkEnd w:id="0"/>
      <w:r>
        <w:rPr>
          <w:rFonts w:hint="eastAsia" w:ascii="Calibri" w:hAnsi="Calibri" w:eastAsia="宋体" w:cs="Times New Roman"/>
          <w:b/>
          <w:bCs/>
          <w:sz w:val="32"/>
          <w:szCs w:val="32"/>
        </w:rPr>
        <w:t>利代理服务项目采购需求</w:t>
      </w:r>
    </w:p>
    <w:p>
      <w:pPr>
        <w:adjustRightInd w:val="0"/>
        <w:spacing w:line="500" w:lineRule="exact"/>
        <w:rPr>
          <w:rFonts w:ascii="仿宋" w:hAnsi="仿宋" w:eastAsia="仿宋" w:cs="仿宋"/>
          <w:b/>
          <w:color w:val="000000"/>
          <w:sz w:val="28"/>
          <w:szCs w:val="28"/>
        </w:rPr>
      </w:pPr>
    </w:p>
    <w:p>
      <w:pPr>
        <w:adjustRightInd w:val="0"/>
        <w:spacing w:line="500" w:lineRule="exact"/>
        <w:rPr>
          <w:rFonts w:ascii="仿宋" w:hAnsi="仿宋" w:eastAsia="仿宋" w:cs="仿宋"/>
          <w:b/>
          <w:color w:val="000000"/>
          <w:sz w:val="28"/>
          <w:szCs w:val="28"/>
        </w:rPr>
      </w:pPr>
      <w:r>
        <w:rPr>
          <w:rFonts w:hint="eastAsia" w:ascii="仿宋" w:hAnsi="仿宋" w:eastAsia="仿宋" w:cs="仿宋"/>
          <w:b/>
          <w:color w:val="000000"/>
          <w:sz w:val="28"/>
          <w:szCs w:val="28"/>
        </w:rPr>
        <w:t>一、项目名称</w:t>
      </w:r>
    </w:p>
    <w:p>
      <w:pPr>
        <w:spacing w:line="500" w:lineRule="exact"/>
        <w:ind w:firstLine="480"/>
        <w:rPr>
          <w:rFonts w:ascii="仿宋" w:hAnsi="仿宋" w:eastAsia="仿宋" w:cs="仿宋"/>
          <w:bCs/>
          <w:color w:val="000000"/>
          <w:sz w:val="28"/>
          <w:szCs w:val="28"/>
        </w:rPr>
      </w:pPr>
      <w:r>
        <w:rPr>
          <w:rFonts w:hint="eastAsia" w:ascii="仿宋" w:hAnsi="仿宋" w:eastAsia="仿宋" w:cs="仿宋"/>
          <w:bCs/>
          <w:color w:val="000000"/>
          <w:sz w:val="28"/>
          <w:szCs w:val="28"/>
        </w:rPr>
        <w:t>柳州市工人医院专利代理服务项目采购</w:t>
      </w:r>
    </w:p>
    <w:p>
      <w:pPr>
        <w:adjustRightInd w:val="0"/>
        <w:spacing w:line="500" w:lineRule="exact"/>
        <w:rPr>
          <w:rFonts w:ascii="仿宋" w:hAnsi="仿宋" w:eastAsia="仿宋" w:cs="仿宋"/>
          <w:b/>
          <w:color w:val="000000"/>
          <w:sz w:val="28"/>
          <w:szCs w:val="28"/>
        </w:rPr>
      </w:pPr>
      <w:r>
        <w:rPr>
          <w:rFonts w:hint="eastAsia" w:ascii="仿宋" w:hAnsi="仿宋" w:eastAsia="仿宋" w:cs="仿宋"/>
          <w:b/>
          <w:color w:val="000000"/>
          <w:sz w:val="28"/>
          <w:szCs w:val="28"/>
        </w:rPr>
        <w:t>二、项目概况</w:t>
      </w:r>
    </w:p>
    <w:p>
      <w:pPr>
        <w:spacing w:line="500" w:lineRule="exact"/>
        <w:ind w:firstLine="480"/>
        <w:rPr>
          <w:rFonts w:ascii="仿宋" w:hAnsi="仿宋" w:eastAsia="仿宋" w:cs="仿宋"/>
          <w:bCs/>
          <w:color w:val="000000"/>
          <w:sz w:val="28"/>
          <w:szCs w:val="28"/>
        </w:rPr>
      </w:pPr>
      <w:r>
        <w:rPr>
          <w:rFonts w:hint="eastAsia" w:ascii="仿宋" w:hAnsi="仿宋" w:eastAsia="仿宋" w:cs="仿宋"/>
          <w:bCs/>
          <w:color w:val="000000"/>
          <w:sz w:val="28"/>
          <w:szCs w:val="28"/>
        </w:rPr>
        <w:t>专利作为科研成果，代表着医院的核心竞争力，同时也是职称评定的重要指标。一直以来，医院的专利申请工作均委托招标专利公司代理申报。因上一年度合同</w:t>
      </w:r>
      <w:r>
        <w:rPr>
          <w:rFonts w:hint="eastAsia" w:ascii="仿宋" w:hAnsi="仿宋" w:eastAsia="仿宋" w:cs="仿宋"/>
          <w:bCs/>
          <w:color w:val="000000"/>
          <w:sz w:val="28"/>
          <w:szCs w:val="28"/>
          <w:lang w:val="en-US" w:eastAsia="zh-CN"/>
        </w:rPr>
        <w:t>即将</w:t>
      </w:r>
      <w:r>
        <w:rPr>
          <w:rFonts w:hint="eastAsia" w:ascii="仿宋" w:hAnsi="仿宋" w:eastAsia="仿宋" w:cs="仿宋"/>
          <w:bCs/>
          <w:color w:val="000000"/>
          <w:sz w:val="28"/>
          <w:szCs w:val="28"/>
        </w:rPr>
        <w:t>到期现</w:t>
      </w:r>
      <w:r>
        <w:rPr>
          <w:rFonts w:ascii="仿宋" w:hAnsi="仿宋" w:eastAsia="仿宋" w:cs="仿宋"/>
          <w:bCs/>
          <w:color w:val="000000"/>
          <w:sz w:val="28"/>
          <w:szCs w:val="28"/>
        </w:rPr>
        <w:t>需要</w:t>
      </w:r>
      <w:r>
        <w:rPr>
          <w:rFonts w:hint="eastAsia" w:ascii="仿宋" w:hAnsi="仿宋" w:eastAsia="仿宋" w:cs="仿宋"/>
          <w:bCs/>
          <w:color w:val="000000"/>
          <w:sz w:val="28"/>
          <w:szCs w:val="28"/>
        </w:rPr>
        <w:t>重新</w:t>
      </w:r>
      <w:r>
        <w:rPr>
          <w:rFonts w:ascii="仿宋" w:hAnsi="仿宋" w:eastAsia="仿宋" w:cs="仿宋"/>
          <w:bCs/>
          <w:color w:val="000000"/>
          <w:sz w:val="28"/>
          <w:szCs w:val="28"/>
        </w:rPr>
        <w:t>招标专利</w:t>
      </w:r>
      <w:r>
        <w:rPr>
          <w:rFonts w:hint="eastAsia" w:ascii="仿宋" w:hAnsi="仿宋" w:eastAsia="仿宋" w:cs="仿宋"/>
          <w:bCs/>
          <w:color w:val="000000"/>
          <w:sz w:val="28"/>
          <w:szCs w:val="28"/>
        </w:rPr>
        <w:t>代理</w:t>
      </w:r>
      <w:r>
        <w:rPr>
          <w:rFonts w:ascii="仿宋" w:hAnsi="仿宋" w:eastAsia="仿宋" w:cs="仿宋"/>
          <w:bCs/>
          <w:color w:val="000000"/>
          <w:sz w:val="28"/>
          <w:szCs w:val="28"/>
        </w:rPr>
        <w:t>公司</w:t>
      </w:r>
      <w:r>
        <w:rPr>
          <w:rFonts w:hint="eastAsia" w:ascii="仿宋" w:hAnsi="仿宋" w:eastAsia="仿宋" w:cs="仿宋"/>
          <w:bCs/>
          <w:color w:val="000000"/>
          <w:sz w:val="28"/>
          <w:szCs w:val="28"/>
        </w:rPr>
        <w:t>，</w:t>
      </w:r>
      <w:r>
        <w:rPr>
          <w:rFonts w:ascii="仿宋" w:hAnsi="仿宋" w:eastAsia="仿宋" w:cs="仿宋"/>
          <w:bCs/>
          <w:color w:val="000000"/>
          <w:sz w:val="28"/>
          <w:szCs w:val="28"/>
        </w:rPr>
        <w:t>办理专利事宜。</w:t>
      </w:r>
      <w:r>
        <w:rPr>
          <w:rFonts w:hint="eastAsia" w:ascii="仿宋" w:hAnsi="仿宋" w:eastAsia="仿宋" w:cs="仿宋"/>
          <w:bCs/>
          <w:color w:val="000000"/>
          <w:sz w:val="28"/>
          <w:szCs w:val="28"/>
        </w:rPr>
        <w:t>主要服务内容包含：发明专利申请代理；实用新型专利代理；外观设计专利代理；软件著作权代理、商标代理、PCT申请代理</w:t>
      </w:r>
      <w:r>
        <w:rPr>
          <w:rFonts w:hint="eastAsia" w:ascii="仿宋" w:hAnsi="仿宋" w:eastAsia="仿宋" w:cs="仿宋"/>
          <w:bCs/>
          <w:color w:val="000000"/>
          <w:sz w:val="28"/>
          <w:szCs w:val="28"/>
          <w:lang w:eastAsia="zh-CN"/>
        </w:rPr>
        <w:t>、成果转化代理</w:t>
      </w:r>
      <w:r>
        <w:rPr>
          <w:rFonts w:hint="eastAsia" w:ascii="仿宋" w:hAnsi="仿宋" w:eastAsia="仿宋" w:cs="仿宋"/>
          <w:bCs/>
          <w:color w:val="000000"/>
          <w:sz w:val="28"/>
          <w:szCs w:val="28"/>
        </w:rPr>
        <w:t>。</w:t>
      </w:r>
    </w:p>
    <w:p>
      <w:pPr>
        <w:spacing w:line="460" w:lineRule="exact"/>
        <w:rPr>
          <w:rFonts w:ascii="仿宋" w:hAnsi="仿宋" w:eastAsia="仿宋" w:cs="仿宋"/>
          <w:b/>
          <w:bCs/>
          <w:sz w:val="30"/>
          <w:szCs w:val="30"/>
        </w:rPr>
      </w:pPr>
      <w:r>
        <w:rPr>
          <w:rFonts w:hint="eastAsia" w:ascii="仿宋" w:hAnsi="仿宋" w:eastAsia="仿宋" w:cs="仿宋"/>
          <w:b/>
          <w:bCs/>
          <w:sz w:val="30"/>
          <w:szCs w:val="30"/>
        </w:rPr>
        <w:t>三、服务商资质条件</w:t>
      </w:r>
    </w:p>
    <w:p>
      <w:pPr>
        <w:numPr>
          <w:ilvl w:val="0"/>
          <w:numId w:val="1"/>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具有从事对应行业准入资格、相关资质证件，如代理机构营业执照、专利代理机构执业许可证；</w:t>
      </w:r>
    </w:p>
    <w:p>
      <w:pPr>
        <w:numPr>
          <w:ilvl w:val="0"/>
          <w:numId w:val="1"/>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专利事务服务范围包括：采购方国内、国际专利从申请到授权事务办理过程中产生的专利事务，包括面对发明人专利文件撰写、专利实审、办理专利申请费（官费）减免、专利权有效维持（年费）、复审答复等专利申请过程和专利维护等所有环节的事务服务与管理工作。</w:t>
      </w:r>
    </w:p>
    <w:p>
      <w:pPr>
        <w:numPr>
          <w:ilvl w:val="0"/>
          <w:numId w:val="1"/>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服务机构近两年发明专利结案授权率需高于60%（以官方数据为准）、在国知局专利代理机构备案的专业人员人数需高于10人、服务机构在柳州市上一年度“非正常专利申请”数量占服务机构当年在本市专利申请总量的</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%以内。</w:t>
      </w:r>
    </w:p>
    <w:p>
      <w:pPr>
        <w:numPr>
          <w:ilvl w:val="0"/>
          <w:numId w:val="1"/>
        </w:numPr>
        <w:spacing w:line="5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具有履行合同所必需的专业技术及服务能力，能够提供较好的技术和服务响应方案；</w:t>
      </w:r>
    </w:p>
    <w:p>
      <w:pPr>
        <w:numPr>
          <w:ilvl w:val="0"/>
          <w:numId w:val="1"/>
        </w:numPr>
        <w:spacing w:line="460" w:lineRule="exact"/>
        <w:ind w:firstLine="600" w:firstLineChars="200"/>
        <w:rPr>
          <w:rFonts w:ascii="仿宋" w:hAnsi="仿宋" w:eastAsia="仿宋" w:cs="仿宋"/>
          <w:bCs/>
          <w:color w:val="000000"/>
          <w:sz w:val="28"/>
          <w:szCs w:val="28"/>
        </w:rPr>
      </w:pPr>
      <w:r>
        <w:rPr>
          <w:rFonts w:hint="eastAsia" w:ascii="仿宋" w:hAnsi="仿宋" w:eastAsia="仿宋" w:cs="仿宋"/>
          <w:color w:val="000000"/>
          <w:sz w:val="30"/>
          <w:szCs w:val="30"/>
        </w:rPr>
        <w:t>参加采购活动前三年内，在经营中没有重大违法记录。</w:t>
      </w:r>
    </w:p>
    <w:p>
      <w:pPr>
        <w:pStyle w:val="17"/>
        <w:numPr>
          <w:ilvl w:val="0"/>
          <w:numId w:val="2"/>
        </w:numPr>
        <w:spacing w:line="460" w:lineRule="exact"/>
        <w:ind w:firstLineChars="0"/>
        <w:rPr>
          <w:rFonts w:ascii="仿宋" w:hAnsi="仿宋" w:eastAsia="仿宋" w:cs="仿宋"/>
          <w:b/>
          <w:bCs/>
          <w:sz w:val="30"/>
          <w:szCs w:val="30"/>
        </w:rPr>
      </w:pPr>
      <w:r>
        <w:rPr>
          <w:rFonts w:hint="eastAsia" w:ascii="仿宋" w:hAnsi="仿宋" w:eastAsia="仿宋" w:cs="仿宋"/>
          <w:b/>
          <w:bCs/>
          <w:sz w:val="30"/>
          <w:szCs w:val="30"/>
        </w:rPr>
        <w:t>服务要求</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成交供应商需严格遵守《专利代理条例》，秉着诚实守信的原则做好专利事务代理工作。</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成交供应商对采购方提供的技术资料负有保密责任。</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在收到采购方提供的技术资料后，应在7个工作日内提出申请方案和申请进度计划，成交供应商应尽快完成初稿撰写，专利申请应于30个工作日内完成，返给申报人审阅。40个工作日内要提交电子申报材料到国家知识产权局 (注:双方技术讨论时间,制图，审阅人进行返稿时间不计在内)。</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成交供应商需慎重对待采购方的专利申请要求，并对其授权可能性进行评估，给出指导性意见，提高专利授权成功率。</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及时缴纳规定的费用，并将国家知识产权局的来文和收费收据邮寄。采购方收文地址发生变更，应当以书面形式通知成交供应商，成交供应商按变更后的收文地址邮寄相关文件及收费收据,邮寄费代理机构承担。</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采购方可随时向成交供应商询问专利申请当前的进度事宜。由成交供应商指定的项目负责人，作为上述采购方的询问对象。</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成交供应商应指定专人任项目负责人，负责组织、协调采购方的专利代理服务事宜。</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成交供应商应免费协助采购方申请政府部门有关“专利事务的资助和奖励”，并及时告知相关最新政策。</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成交供应商应为采购方提供专业、优质的代理服务，不得拖延或推迟采购方下达的专利代理工作。</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成交供应商应与各专利申请人充分沟通，且按专利申请人的具体项目服务要求提供专业服务，确保专利申请高效、及时。</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成交供应商在完成代理递件后，应将申请文档副本及核对帐单及时交与采购方，知识产权局档案应及时转交采购方；</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专利申请被授予专利权的，其有效期是从申请专利起至专利有效期限内的全部事宜(该发明创造授权后所产生的关于诉讼、专利无效宣告程序费用另外收取)，成交供应商应按照国家知识产权局的缴费时间要求，提前书面通知采购方缴纳专利证书费及专利年费等相关事宜。</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成交供应商需每年协助采购方完成专利转化</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数量保持逐年增长。</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成交供应商需每年协助采购方完成自主申请并获得授权的高质量专利数量≥2项，并保持逐年增长。</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成交供应商有责任与义务在服务期限内主动配合提供“非正常专利申请”的撤回与申诉，如当年的专利代理服务在未来的服务延续期内出现超过代理总量</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%以上数量的非正常专利申请，涉及到撤回相应的专利，成交供应商应退回一半代理费，我单位保留追溯权利。</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成交供应商应当签署《服务机构真实信息承诺函》、《服务机构延续服务承诺函》。</w:t>
      </w:r>
    </w:p>
    <w:p>
      <w:pPr>
        <w:numPr>
          <w:ilvl w:val="0"/>
          <w:numId w:val="4"/>
        </w:numPr>
        <w:spacing w:line="460" w:lineRule="exact"/>
        <w:rPr>
          <w:rFonts w:ascii="仿宋" w:hAnsi="仿宋" w:eastAsia="仿宋" w:cs="仿宋"/>
          <w:b/>
          <w:bCs/>
          <w:sz w:val="30"/>
          <w:szCs w:val="30"/>
        </w:rPr>
      </w:pPr>
      <w:r>
        <w:rPr>
          <w:rFonts w:hint="eastAsia" w:ascii="仿宋" w:hAnsi="仿宋" w:eastAsia="仿宋" w:cs="仿宋"/>
          <w:b/>
          <w:bCs/>
          <w:sz w:val="30"/>
          <w:szCs w:val="30"/>
        </w:rPr>
        <w:t>合同期及结算方式</w:t>
      </w:r>
    </w:p>
    <w:p>
      <w:pPr>
        <w:numPr>
          <w:ilvl w:val="0"/>
          <w:numId w:val="5"/>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合同期限为：服务期</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w:t>
      </w:r>
    </w:p>
    <w:p>
      <w:pPr>
        <w:numPr>
          <w:ilvl w:val="0"/>
          <w:numId w:val="5"/>
        </w:numPr>
        <w:spacing w:line="460" w:lineRule="exact"/>
        <w:ind w:firstLine="600" w:firstLineChars="200"/>
        <w:rPr>
          <w:rFonts w:ascii="仿宋" w:hAnsi="仿宋" w:eastAsia="仿宋" w:cs="仿宋"/>
          <w:b/>
          <w:bCs/>
          <w:color w:val="auto"/>
          <w:sz w:val="30"/>
          <w:szCs w:val="30"/>
        </w:rPr>
      </w:pPr>
      <w:r>
        <w:rPr>
          <w:rFonts w:hint="eastAsia" w:ascii="仿宋" w:hAnsi="仿宋" w:eastAsia="仿宋" w:cs="仿宋"/>
          <w:color w:val="auto"/>
          <w:sz w:val="30"/>
          <w:szCs w:val="30"/>
        </w:rPr>
        <w:t>结算方式：按合同约定统一单价，由甲方专利发明人根据代理类型支付服务商。</w:t>
      </w:r>
    </w:p>
    <w:p>
      <w:pPr>
        <w:numPr>
          <w:ilvl w:val="0"/>
          <w:numId w:val="4"/>
        </w:numPr>
        <w:spacing w:line="460" w:lineRule="exact"/>
        <w:rPr>
          <w:rFonts w:ascii="仿宋" w:hAnsi="仿宋" w:eastAsia="仿宋" w:cs="仿宋"/>
          <w:b/>
          <w:bCs/>
          <w:sz w:val="30"/>
          <w:szCs w:val="30"/>
        </w:rPr>
      </w:pPr>
      <w:r>
        <w:rPr>
          <w:rFonts w:hint="eastAsia" w:ascii="仿宋" w:hAnsi="仿宋" w:eastAsia="仿宋" w:cs="仿宋"/>
          <w:b/>
          <w:bCs/>
          <w:sz w:val="30"/>
          <w:szCs w:val="30"/>
        </w:rPr>
        <w:t>服务报价方式</w:t>
      </w:r>
    </w:p>
    <w:tbl>
      <w:tblPr>
        <w:tblStyle w:val="9"/>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4579"/>
        <w:gridCol w:w="2350"/>
        <w:gridCol w:w="175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序号</w:t>
            </w:r>
          </w:p>
        </w:tc>
        <w:tc>
          <w:tcPr>
            <w:tcW w:w="4579"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服务内容</w:t>
            </w:r>
          </w:p>
        </w:tc>
        <w:tc>
          <w:tcPr>
            <w:tcW w:w="2350"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单价（元）</w:t>
            </w:r>
          </w:p>
        </w:tc>
        <w:tc>
          <w:tcPr>
            <w:tcW w:w="1753"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1</w:t>
            </w:r>
          </w:p>
        </w:tc>
        <w:tc>
          <w:tcPr>
            <w:tcW w:w="4579"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发明专利申请代理服务费</w:t>
            </w:r>
          </w:p>
        </w:tc>
        <w:tc>
          <w:tcPr>
            <w:tcW w:w="2350" w:type="dxa"/>
          </w:tcPr>
          <w:p>
            <w:pPr>
              <w:spacing w:line="46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753"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2</w:t>
            </w:r>
          </w:p>
        </w:tc>
        <w:tc>
          <w:tcPr>
            <w:tcW w:w="4579"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实用新型专利代理服务费</w:t>
            </w:r>
          </w:p>
        </w:tc>
        <w:tc>
          <w:tcPr>
            <w:tcW w:w="2350" w:type="dxa"/>
          </w:tcPr>
          <w:p>
            <w:pPr>
              <w:spacing w:line="46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753"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3</w:t>
            </w:r>
          </w:p>
        </w:tc>
        <w:tc>
          <w:tcPr>
            <w:tcW w:w="4579"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同时申请发明和实用新型专利代理费</w:t>
            </w:r>
          </w:p>
        </w:tc>
        <w:tc>
          <w:tcPr>
            <w:tcW w:w="2350" w:type="dxa"/>
          </w:tcPr>
          <w:p>
            <w:pPr>
              <w:spacing w:line="46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753"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4</w:t>
            </w:r>
          </w:p>
        </w:tc>
        <w:tc>
          <w:tcPr>
            <w:tcW w:w="4579"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外观设计专利代理服务费</w:t>
            </w:r>
          </w:p>
        </w:tc>
        <w:tc>
          <w:tcPr>
            <w:tcW w:w="2350" w:type="dxa"/>
          </w:tcPr>
          <w:p>
            <w:pPr>
              <w:spacing w:line="46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753"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5</w:t>
            </w:r>
          </w:p>
        </w:tc>
        <w:tc>
          <w:tcPr>
            <w:tcW w:w="4579"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软件著作权代理服务费</w:t>
            </w:r>
          </w:p>
        </w:tc>
        <w:tc>
          <w:tcPr>
            <w:tcW w:w="2350" w:type="dxa"/>
          </w:tcPr>
          <w:p>
            <w:pPr>
              <w:spacing w:line="46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753"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6</w:t>
            </w:r>
          </w:p>
        </w:tc>
        <w:tc>
          <w:tcPr>
            <w:tcW w:w="4579"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商标代理服务费</w:t>
            </w:r>
          </w:p>
        </w:tc>
        <w:tc>
          <w:tcPr>
            <w:tcW w:w="2350" w:type="dxa"/>
          </w:tcPr>
          <w:p>
            <w:pPr>
              <w:spacing w:line="46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753"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7</w:t>
            </w:r>
          </w:p>
        </w:tc>
        <w:tc>
          <w:tcPr>
            <w:tcW w:w="4579"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PCT申请代理服务费</w:t>
            </w:r>
          </w:p>
        </w:tc>
        <w:tc>
          <w:tcPr>
            <w:tcW w:w="2350" w:type="dxa"/>
          </w:tcPr>
          <w:p>
            <w:pPr>
              <w:spacing w:line="46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753"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8</w:t>
            </w:r>
          </w:p>
        </w:tc>
        <w:tc>
          <w:tcPr>
            <w:tcW w:w="4579"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专利成果转化费</w:t>
            </w:r>
          </w:p>
        </w:tc>
        <w:tc>
          <w:tcPr>
            <w:tcW w:w="2350" w:type="dxa"/>
          </w:tcPr>
          <w:p>
            <w:pPr>
              <w:spacing w:line="46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753"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156"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9</w:t>
            </w:r>
          </w:p>
        </w:tc>
        <w:tc>
          <w:tcPr>
            <w:tcW w:w="4579"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专利年费缴纳代理费</w:t>
            </w:r>
          </w:p>
        </w:tc>
        <w:tc>
          <w:tcPr>
            <w:tcW w:w="2350" w:type="dxa"/>
          </w:tcPr>
          <w:p>
            <w:pPr>
              <w:spacing w:line="46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753"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40" w:type="dxa"/>
            <w:gridSpan w:val="5"/>
          </w:tcPr>
          <w:p>
            <w:pPr>
              <w:spacing w:line="460" w:lineRule="exact"/>
              <w:rPr>
                <w:rFonts w:hint="eastAsia" w:ascii="仿宋" w:hAnsi="仿宋" w:eastAsia="仿宋" w:cs="仿宋"/>
                <w:b/>
                <w:bCs/>
                <w:sz w:val="30"/>
                <w:szCs w:val="30"/>
              </w:rPr>
            </w:pPr>
            <w:r>
              <w:rPr>
                <w:rFonts w:hint="eastAsia" w:ascii="仿宋" w:hAnsi="仿宋" w:eastAsia="仿宋" w:cs="仿宋"/>
                <w:b/>
                <w:bCs/>
                <w:sz w:val="30"/>
                <w:szCs w:val="30"/>
                <w:lang w:val="en-US" w:eastAsia="zh-CN"/>
              </w:rPr>
              <w:t>单价</w:t>
            </w:r>
            <w:r>
              <w:rPr>
                <w:rFonts w:hint="eastAsia" w:ascii="仿宋" w:hAnsi="仿宋" w:eastAsia="仿宋" w:cs="仿宋"/>
                <w:b/>
                <w:bCs/>
                <w:sz w:val="30"/>
                <w:szCs w:val="30"/>
              </w:rPr>
              <w:t>合计金额（元）：</w:t>
            </w:r>
          </w:p>
        </w:tc>
      </w:tr>
    </w:tbl>
    <w:p>
      <w:pPr>
        <w:spacing w:line="460" w:lineRule="exact"/>
        <w:rPr>
          <w:rFonts w:ascii="仿宋" w:hAnsi="仿宋" w:eastAsia="仿宋" w:cs="仿宋"/>
          <w:b/>
          <w:bCs/>
          <w:sz w:val="30"/>
          <w:szCs w:val="30"/>
        </w:rPr>
      </w:pPr>
    </w:p>
    <w:p>
      <w:pPr>
        <w:spacing w:line="460" w:lineRule="exact"/>
        <w:rPr>
          <w:rFonts w:ascii="仿宋" w:hAnsi="仿宋" w:eastAsia="仿宋" w:cs="仿宋"/>
          <w:b/>
          <w:bCs/>
          <w:sz w:val="30"/>
          <w:szCs w:val="30"/>
        </w:rPr>
      </w:pPr>
      <w:r>
        <w:rPr>
          <w:rFonts w:hint="eastAsia" w:ascii="仿宋" w:hAnsi="仿宋" w:eastAsia="仿宋" w:cs="仿宋"/>
          <w:b/>
          <w:bCs/>
          <w:sz w:val="30"/>
          <w:szCs w:val="30"/>
        </w:rPr>
        <w:t>七、服务商遴选方式</w:t>
      </w:r>
    </w:p>
    <w:p>
      <w:pPr>
        <w:spacing w:line="460" w:lineRule="exact"/>
        <w:ind w:firstLine="600" w:firstLineChars="200"/>
        <w:rPr>
          <w:rFonts w:ascii="仿宋" w:hAnsi="仿宋" w:eastAsia="仿宋" w:cs="仿宋"/>
          <w:bCs/>
          <w:color w:val="000000"/>
          <w:sz w:val="28"/>
          <w:szCs w:val="28"/>
        </w:rPr>
      </w:pPr>
      <w:r>
        <w:rPr>
          <w:rFonts w:hint="eastAsia" w:ascii="仿宋" w:hAnsi="仿宋" w:eastAsia="仿宋" w:cs="仿宋"/>
          <w:sz w:val="30"/>
          <w:szCs w:val="30"/>
        </w:rPr>
        <w:t>对服务商的服务质量、及时性及价格进行综合评价，同时</w:t>
      </w:r>
      <w:r>
        <w:rPr>
          <w:rFonts w:hint="eastAsia" w:ascii="仿宋" w:hAnsi="仿宋" w:eastAsia="仿宋" w:cs="仿宋"/>
          <w:b/>
          <w:bCs/>
          <w:sz w:val="30"/>
          <w:szCs w:val="30"/>
        </w:rPr>
        <w:t>遴选</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家</w:t>
      </w:r>
      <w:r>
        <w:rPr>
          <w:rFonts w:hint="eastAsia" w:ascii="仿宋" w:hAnsi="仿宋" w:eastAsia="仿宋" w:cs="仿宋"/>
          <w:sz w:val="30"/>
          <w:szCs w:val="30"/>
        </w:rPr>
        <w:t>专利代理公司。</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99ABB1"/>
    <w:multiLevelType w:val="singleLevel"/>
    <w:tmpl w:val="CB99ABB1"/>
    <w:lvl w:ilvl="0" w:tentative="0">
      <w:start w:val="1"/>
      <w:numFmt w:val="decimal"/>
      <w:suff w:val="nothing"/>
      <w:lvlText w:val="%1．"/>
      <w:lvlJc w:val="left"/>
      <w:pPr>
        <w:ind w:left="0" w:firstLine="400"/>
      </w:pPr>
      <w:rPr>
        <w:rFonts w:hint="default"/>
      </w:rPr>
    </w:lvl>
  </w:abstractNum>
  <w:abstractNum w:abstractNumId="1">
    <w:nsid w:val="0EC4FFD6"/>
    <w:multiLevelType w:val="singleLevel"/>
    <w:tmpl w:val="0EC4FFD6"/>
    <w:lvl w:ilvl="0" w:tentative="0">
      <w:start w:val="1"/>
      <w:numFmt w:val="decimal"/>
      <w:suff w:val="nothing"/>
      <w:lvlText w:val="%1．"/>
      <w:lvlJc w:val="left"/>
      <w:pPr>
        <w:ind w:left="0" w:firstLine="400"/>
      </w:pPr>
      <w:rPr>
        <w:rFonts w:hint="default"/>
      </w:rPr>
    </w:lvl>
  </w:abstractNum>
  <w:abstractNum w:abstractNumId="2">
    <w:nsid w:val="39D67899"/>
    <w:multiLevelType w:val="singleLevel"/>
    <w:tmpl w:val="39D67899"/>
    <w:lvl w:ilvl="0" w:tentative="0">
      <w:start w:val="1"/>
      <w:numFmt w:val="decimal"/>
      <w:suff w:val="nothing"/>
      <w:lvlText w:val="%1．"/>
      <w:lvlJc w:val="left"/>
      <w:pPr>
        <w:ind w:left="0" w:firstLine="400"/>
      </w:pPr>
      <w:rPr>
        <w:rFonts w:hint="default"/>
        <w:b w:val="0"/>
        <w:bCs w:val="0"/>
      </w:rPr>
    </w:lvl>
  </w:abstractNum>
  <w:abstractNum w:abstractNumId="3">
    <w:nsid w:val="4B2D4D7E"/>
    <w:multiLevelType w:val="multilevel"/>
    <w:tmpl w:val="4B2D4D7E"/>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7A9BF1"/>
    <w:multiLevelType w:val="singleLevel"/>
    <w:tmpl w:val="657A9BF1"/>
    <w:lvl w:ilvl="0" w:tentative="0">
      <w:start w:val="5"/>
      <w:numFmt w:val="chineseCounting"/>
      <w:suff w:val="nothing"/>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5YmNmYTcyNzExYmY3YWYyYzEzZmM0ZTlmNTI3ZWQifQ=="/>
  </w:docVars>
  <w:rsids>
    <w:rsidRoot w:val="004C096E"/>
    <w:rsid w:val="00075FC5"/>
    <w:rsid w:val="001020B5"/>
    <w:rsid w:val="002D4C72"/>
    <w:rsid w:val="002F45C6"/>
    <w:rsid w:val="00303FCB"/>
    <w:rsid w:val="00351580"/>
    <w:rsid w:val="004C096E"/>
    <w:rsid w:val="00575C59"/>
    <w:rsid w:val="0060567A"/>
    <w:rsid w:val="00815398"/>
    <w:rsid w:val="0084399F"/>
    <w:rsid w:val="008F151F"/>
    <w:rsid w:val="045F1083"/>
    <w:rsid w:val="0D8C6527"/>
    <w:rsid w:val="14F27D2C"/>
    <w:rsid w:val="1B696BD9"/>
    <w:rsid w:val="1B7C407F"/>
    <w:rsid w:val="1E3D7A64"/>
    <w:rsid w:val="3CCB0BD9"/>
    <w:rsid w:val="41A32249"/>
    <w:rsid w:val="49F626FA"/>
    <w:rsid w:val="4E811172"/>
    <w:rsid w:val="577E788F"/>
    <w:rsid w:val="5896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qFormat/>
    <w:uiPriority w:val="0"/>
    <w:rPr>
      <w:sz w:val="21"/>
      <w:szCs w:val="21"/>
    </w:rPr>
  </w:style>
  <w:style w:type="paragraph" w:customStyle="1" w:styleId="12">
    <w:name w:val="正文文本首行缩进1"/>
    <w:basedOn w:val="4"/>
    <w:qFormat/>
    <w:uiPriority w:val="0"/>
    <w:pPr>
      <w:ind w:firstLine="100" w:firstLineChars="100"/>
    </w:pPr>
  </w:style>
  <w:style w:type="character" w:customStyle="1" w:styleId="13">
    <w:name w:val="页眉 字符"/>
    <w:basedOn w:val="10"/>
    <w:link w:val="7"/>
    <w:qFormat/>
    <w:uiPriority w:val="0"/>
    <w:rPr>
      <w:kern w:val="2"/>
      <w:sz w:val="18"/>
      <w:szCs w:val="18"/>
    </w:rPr>
  </w:style>
  <w:style w:type="character" w:customStyle="1" w:styleId="14">
    <w:name w:val="页脚 字符"/>
    <w:basedOn w:val="10"/>
    <w:link w:val="6"/>
    <w:qFormat/>
    <w:uiPriority w:val="0"/>
    <w:rPr>
      <w:kern w:val="2"/>
      <w:sz w:val="18"/>
      <w:szCs w:val="18"/>
    </w:rPr>
  </w:style>
  <w:style w:type="character" w:customStyle="1" w:styleId="15">
    <w:name w:val="批注框文本 字符"/>
    <w:basedOn w:val="10"/>
    <w:link w:val="5"/>
    <w:qFormat/>
    <w:uiPriority w:val="0"/>
    <w:rPr>
      <w:kern w:val="2"/>
      <w:sz w:val="18"/>
      <w:szCs w:val="18"/>
    </w:rPr>
  </w:style>
  <w:style w:type="character" w:customStyle="1" w:styleId="16">
    <w:name w:val="fontstyle01"/>
    <w:qFormat/>
    <w:uiPriority w:val="0"/>
    <w:rPr>
      <w:rFonts w:ascii="黑体" w:hAnsi="宋体" w:eastAsia="黑体" w:cs="黑体"/>
      <w:color w:val="000000"/>
      <w:sz w:val="70"/>
      <w:szCs w:val="70"/>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柳州市工人医院</Company>
  <Pages>4</Pages>
  <Words>1889</Words>
  <Characters>1908</Characters>
  <Lines>15</Lines>
  <Paragraphs>4</Paragraphs>
  <TotalTime>236</TotalTime>
  <ScaleCrop>false</ScaleCrop>
  <LinksUpToDate>false</LinksUpToDate>
  <CharactersWithSpaces>2030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2022-08-04T03:18:00Z</dcterms:created>
  <dc:creator>lgyy</dc:creator>
  <cp:lastModifiedBy>Administrator</cp:lastModifiedBy>
  <cp:lastPrinted>2022-08-01T02:42:00Z</cp:lastPrinted>
  <dcterms:modified xsi:type="dcterms:W3CDTF">2024-08-06T02:57:31Z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F6DCA4D6DBBD48B0B32E1A73B57FAE1F</vt:lpwstr>
  </property>
</Properties>
</file>