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75"/>
        </w:tabs>
        <w:spacing w:line="480" w:lineRule="exact"/>
        <w:jc w:val="center"/>
        <w:rPr>
          <w:rFonts w:hint="eastAsia" w:ascii="仿宋" w:hAnsi="仿宋" w:eastAsia="仿宋" w:cs="仿宋"/>
          <w:b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各院区分类垃圾桶定制不锈钢灭烟口板采购的项目需求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一、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项目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各院区分类垃圾桶定制不锈钢灭烟口板采购的项目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二、项目概况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1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根据生活垃圾分类办、创城办要求医疗单位室内外需配置分类垃圾桶(室内两分类、室外三分类)。医院为无烟医院单位，文明城要求院区内无烟头，但目前各院区所用垃圾桶正反面均带有灭烟口，现灭烟口暂用广告板封口，易烂不美观且更换快增加成本。为了进一步做好卫生工作降低成本，现需在生活垃圾桶灭烟口处定制不锈钢板代替广告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三、投标人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/供应商资格条件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1、投标人需为国内注册（指按国家有关规定要求注册的）生产或经营本次招标采购货物及服务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具备法人资格的供应商。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2、投标人三年内在经营活动中没有重大违法记录和不良信用记录。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3、投标人有效的“营业执照”副本复印件。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4、投标人有效的“税务登记证”副本复印件。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四、不锈钢板定制数量和报价要求：</w:t>
      </w:r>
    </w:p>
    <w:tbl>
      <w:tblPr>
        <w:tblStyle w:val="4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50"/>
        <w:gridCol w:w="1350"/>
        <w:gridCol w:w="840"/>
        <w:gridCol w:w="915"/>
        <w:gridCol w:w="1125"/>
        <w:gridCol w:w="1215"/>
        <w:gridCol w:w="3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50" w:type="dxa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1350" w:type="dxa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定制形状</w:t>
            </w:r>
          </w:p>
        </w:tc>
        <w:tc>
          <w:tcPr>
            <w:tcW w:w="840" w:type="dxa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单位</w:t>
            </w:r>
          </w:p>
        </w:tc>
        <w:tc>
          <w:tcPr>
            <w:tcW w:w="915" w:type="dxa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数量</w:t>
            </w:r>
          </w:p>
        </w:tc>
        <w:tc>
          <w:tcPr>
            <w:tcW w:w="1125" w:type="dxa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单价</w:t>
            </w:r>
          </w:p>
        </w:tc>
        <w:tc>
          <w:tcPr>
            <w:tcW w:w="1215" w:type="dxa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合计</w:t>
            </w:r>
          </w:p>
        </w:tc>
        <w:tc>
          <w:tcPr>
            <w:tcW w:w="3659" w:type="dxa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50" w:type="dxa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1</w:t>
            </w:r>
          </w:p>
        </w:tc>
        <w:tc>
          <w:tcPr>
            <w:tcW w:w="1350" w:type="dxa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圆形孔</w:t>
            </w:r>
          </w:p>
        </w:tc>
        <w:tc>
          <w:tcPr>
            <w:tcW w:w="840" w:type="dxa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个</w:t>
            </w:r>
          </w:p>
        </w:tc>
        <w:tc>
          <w:tcPr>
            <w:tcW w:w="915" w:type="dxa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100</w:t>
            </w:r>
          </w:p>
        </w:tc>
        <w:tc>
          <w:tcPr>
            <w:tcW w:w="1125" w:type="dxa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215" w:type="dxa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3659" w:type="dxa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折除原灭烟孔塑料板，定制7cm直径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圆形</w:t>
            </w:r>
            <w:r>
              <w:rPr>
                <w:rFonts w:hint="eastAsia" w:ascii="仿宋" w:hAnsi="仿宋" w:eastAsia="仿宋" w:cs="仿宋"/>
                <w:vertAlign w:val="baseline"/>
              </w:rPr>
              <w:t>不锈钢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板</w:t>
            </w:r>
            <w:r>
              <w:rPr>
                <w:rFonts w:hint="eastAsia" w:ascii="仿宋" w:hAnsi="仿宋" w:eastAsia="仿宋" w:cs="仿宋"/>
                <w:vertAlign w:val="baseline"/>
              </w:rPr>
              <w:t>，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结构</w:t>
            </w:r>
            <w:r>
              <w:rPr>
                <w:rFonts w:hint="eastAsia" w:ascii="仿宋" w:hAnsi="仿宋" w:eastAsia="仿宋" w:cs="仿宋"/>
                <w:vertAlign w:val="baseline"/>
              </w:rPr>
              <w:t>胶粘贴固定在原有灭烟孔内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50" w:type="dxa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2</w:t>
            </w:r>
          </w:p>
        </w:tc>
        <w:tc>
          <w:tcPr>
            <w:tcW w:w="1350" w:type="dxa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方形孔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个</w:t>
            </w:r>
          </w:p>
        </w:tc>
        <w:tc>
          <w:tcPr>
            <w:tcW w:w="915" w:type="dxa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574</w:t>
            </w:r>
          </w:p>
        </w:tc>
        <w:tc>
          <w:tcPr>
            <w:tcW w:w="1125" w:type="dxa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215" w:type="dxa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3659" w:type="dxa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人工折除原配套灭烟槽，安装1.0mm厚202不锈钢板，铆钉周定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50" w:type="dxa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3</w:t>
            </w:r>
          </w:p>
        </w:tc>
        <w:tc>
          <w:tcPr>
            <w:tcW w:w="1350" w:type="dxa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椭圆形孔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个</w:t>
            </w:r>
          </w:p>
        </w:tc>
        <w:tc>
          <w:tcPr>
            <w:tcW w:w="915" w:type="dxa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100</w:t>
            </w:r>
          </w:p>
        </w:tc>
        <w:tc>
          <w:tcPr>
            <w:tcW w:w="1125" w:type="dxa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215" w:type="dxa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3659" w:type="dxa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人工切割，安装成品不锈钢灭烟板，铆钉固定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854" w:type="dxa"/>
            <w:gridSpan w:val="7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合计金额（元）：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854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以上为需更换不锈钢板封口数量，尺寸需现场测量</w:t>
            </w:r>
          </w:p>
          <w:p>
            <w:pPr>
              <w:pStyle w:val="2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报价含货物费、人工费、材料费、装卸车费、运输费、管理费、保险、利润、税金等为完成本项目所需的所有费用，在实施期间不因市场因素而变动。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五、其他要求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交货时如出现质量、型号、参数与招投标文件不符的情况，投标人应无条件给予更换。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投标人确保所供应产品符合国家相关技术部门规定技术要求。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在拆切割不锈钢之前，首先需要清理施工区域，确保割切产生火星溅射范围无可燃物、无人员，并移除可能妨碍施工的杂物。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不锈钢板应按尺寸定制切割；磨圆角，边缘打磨平整至不易割手，整体平整无明显凸起和凹点；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签订合同后，15天内完成所有工程内容施工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textAlignment w:val="auto"/>
        <w:rPr>
          <w:rFonts w:hint="default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工程结束后应及时进行清理，恢复原有摆放，减少或消除对周围景观的视觉污染。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六、结算方式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" w:hAnsi="仿宋" w:eastAsia="仿宋" w:cs="仿宋"/>
          <w:color w:val="C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本项目无预付款，完成制作安装完并验收合格后，甲方支付全部货款。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七、供应商遴选方式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对供应商商品质量、服务及时性及价格进行综合评价，遴选1家服务商。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承办科室 ：总务科              使用科室：后勤社会化服务管理办公室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经办人：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科主任：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日期：2024年  月   日         日期： 2024年  月   日</w:t>
      </w:r>
    </w:p>
    <w:p>
      <w:pPr>
        <w:pStyle w:val="2"/>
        <w:rPr>
          <w:rFonts w:hint="eastAsia"/>
          <w:lang w:eastAsia="zh-C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1428BD"/>
    <w:multiLevelType w:val="singleLevel"/>
    <w:tmpl w:val="B81428BD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594C32BE"/>
    <w:multiLevelType w:val="singleLevel"/>
    <w:tmpl w:val="594C32B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2197F"/>
    <w:rsid w:val="36187A42"/>
    <w:rsid w:val="4E28533F"/>
    <w:rsid w:val="6167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80" w:lineRule="exact"/>
    </w:pPr>
    <w:rPr>
      <w:rFonts w:ascii="Times New Roman" w:hAnsi="Times New Roman" w:eastAsia="宋体" w:cs="Times New Roman"/>
      <w:sz w:val="24"/>
      <w:szCs w:val="24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6">
    <w:name w:val="List Paragraph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2024-07-09T01:34:00Z</dcterms:created>
  <dc:creator>Administrator</dc:creator>
  <cp:lastModifiedBy> 哔哩哔哩小蘑菇</cp:lastModifiedBy>
  <dcterms:modified xsi:type="dcterms:W3CDTF">2024-07-09T02:24:03Z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