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12" w:lineRule="auto"/>
        <w:jc w:val="center"/>
        <w:rPr>
          <w:rFonts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税务管理软件系统技术参数要求</w:t>
      </w:r>
    </w:p>
    <w:p>
      <w:pPr>
        <w:keepNext/>
        <w:keepLines/>
        <w:spacing w:line="312" w:lineRule="auto"/>
        <w:ind w:left="420" w:leftChars="200"/>
        <w:jc w:val="left"/>
        <w:rPr>
          <w:rFonts w:ascii="宋体" w:hAnsi="宋体" w:eastAsia="宋体" w:cs="微软雅黑"/>
          <w:b/>
          <w:bCs/>
          <w:kern w:val="44"/>
          <w:sz w:val="24"/>
          <w:szCs w:val="24"/>
        </w:rPr>
      </w:pPr>
    </w:p>
    <w:bookmarkEnd w:id="0"/>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一、项目背景</w:t>
      </w:r>
    </w:p>
    <w:p>
      <w:pPr>
        <w:spacing w:line="312" w:lineRule="auto"/>
        <w:ind w:firstLine="420"/>
        <w:rPr>
          <w:rFonts w:ascii="Calibri" w:hAnsi="Calibri" w:eastAsia="宋体" w:cs="Times New Roman"/>
          <w:sz w:val="24"/>
          <w:szCs w:val="24"/>
          <w:lang w:bidi="ar"/>
        </w:rPr>
      </w:pPr>
      <w:r>
        <w:rPr>
          <w:rFonts w:hint="eastAsia" w:ascii="Calibri" w:hAnsi="Calibri" w:eastAsia="宋体" w:cs="Times New Roman"/>
          <w:sz w:val="24"/>
          <w:szCs w:val="24"/>
          <w:lang w:bidi="ar"/>
        </w:rPr>
        <w:t>近年来，随着税制及税收征管体制改革的不断深入，国家依托金税工程及互联网创新成果与税收工作的深度融合，正全力打造全天候、全方位、全覆盖、全流程、全联通的智慧税务生态系统。</w:t>
      </w:r>
    </w:p>
    <w:p>
      <w:pPr>
        <w:spacing w:line="312" w:lineRule="auto"/>
        <w:ind w:firstLine="420"/>
        <w:rPr>
          <w:rFonts w:ascii="宋体" w:hAnsi="宋体" w:eastAsia="宋体"/>
          <w:sz w:val="24"/>
          <w:szCs w:val="24"/>
        </w:rPr>
      </w:pPr>
      <w:r>
        <w:rPr>
          <w:rFonts w:hint="eastAsia" w:ascii="宋体" w:hAnsi="宋体" w:eastAsia="宋体"/>
          <w:sz w:val="24"/>
          <w:szCs w:val="24"/>
        </w:rPr>
        <w:t>随着我院医院业务量的增长，进项发票数量急剧增加，目前通过人工对票面信息逐条核对的工作方式，已经无法满足医院税务核算的需求，发票管理效率低下，存在进项发票管理风险。另外，我院当前仅依靠人工对进项发票票面信息逐条核对，效率低，且无法实现发票自动查验、合规校验和风险筛查。此外，医院还面临着数电发票（即电子普通发票）的采集、验真、入账等问题，需要与税控发票进行统一管理。</w:t>
      </w:r>
    </w:p>
    <w:p>
      <w:pPr>
        <w:widowControl/>
        <w:spacing w:after="200" w:line="360" w:lineRule="auto"/>
        <w:ind w:firstLine="480" w:firstLineChars="200"/>
        <w:jc w:val="left"/>
      </w:pPr>
      <w:r>
        <w:rPr>
          <w:rFonts w:hint="eastAsia" w:ascii="宋体" w:hAnsi="宋体" w:eastAsia="宋体"/>
          <w:sz w:val="24"/>
          <w:szCs w:val="24"/>
        </w:rPr>
        <w:t>因此医院需购置税务管理软件，与我院已有的</w:t>
      </w:r>
      <w:r>
        <w:rPr>
          <w:rFonts w:hint="eastAsia" w:ascii="Calibri" w:hAnsi="Calibri" w:eastAsia="宋体" w:cs="宋体"/>
          <w:kern w:val="0"/>
          <w:sz w:val="24"/>
          <w:szCs w:val="24"/>
          <w:lang w:bidi="ar"/>
        </w:rPr>
        <w:t>报销系统、财务系统、业务系统一起，旨在打造医院内部业务财务税务一体化管理体系，提高效率，强化决策和管理支持，提升财务管理水平。</w:t>
      </w:r>
    </w:p>
    <w:p>
      <w:pPr>
        <w:pStyle w:val="3"/>
        <w:numPr>
          <w:ilvl w:val="0"/>
          <w:numId w:val="2"/>
        </w:numPr>
        <w:spacing w:before="0" w:after="0" w:line="312" w:lineRule="auto"/>
        <w:rPr>
          <w:rFonts w:ascii="宋体" w:hAnsi="宋体"/>
          <w:bCs w:val="0"/>
          <w:sz w:val="32"/>
          <w:szCs w:val="32"/>
        </w:rPr>
      </w:pPr>
      <w:r>
        <w:rPr>
          <w:rFonts w:hint="eastAsia" w:ascii="宋体" w:hAnsi="宋体"/>
          <w:bCs w:val="0"/>
          <w:sz w:val="32"/>
          <w:szCs w:val="32"/>
        </w:rPr>
        <w:t>项目建设内容及要求</w:t>
      </w:r>
    </w:p>
    <w:p>
      <w:pPr>
        <w:pStyle w:val="2"/>
        <w:rPr>
          <w:rFonts w:ascii="Calibri" w:hAnsi="Calibri" w:eastAsia="宋体" w:cs="宋体"/>
          <w:kern w:val="0"/>
          <w:sz w:val="24"/>
          <w:szCs w:val="24"/>
          <w:lang w:bidi="ar"/>
        </w:rPr>
      </w:pPr>
      <w:r>
        <w:rPr>
          <w:rFonts w:hint="eastAsia" w:ascii="Calibri" w:hAnsi="Calibri" w:eastAsia="宋体" w:cs="宋体"/>
          <w:kern w:val="0"/>
          <w:sz w:val="24"/>
          <w:szCs w:val="24"/>
          <w:lang w:bidi="ar"/>
        </w:rPr>
        <w:t>提供税务共享平台和对医院报销系统进行改造和对接，在医院报销系统功能的基础上，建设进项发票采集、查验、预警、勾选、归档等全流程闭环管理。</w:t>
      </w:r>
    </w:p>
    <w:tbl>
      <w:tblPr>
        <w:tblStyle w:val="13"/>
        <w:tblW w:w="9014" w:type="dxa"/>
        <w:jc w:val="center"/>
        <w:tblInd w:w="-1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85"/>
        <w:gridCol w:w="4770"/>
        <w:gridCol w:w="855"/>
        <w:gridCol w:w="552"/>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spacing w:line="312" w:lineRule="auto"/>
              <w:rPr>
                <w:rFonts w:ascii="宋体" w:hAnsi="宋体" w:eastAsia="宋体"/>
                <w:b/>
                <w:bCs/>
                <w:color w:val="auto"/>
              </w:rPr>
            </w:pPr>
            <w:r>
              <w:rPr>
                <w:rFonts w:hint="eastAsia" w:ascii="宋体" w:hAnsi="宋体" w:eastAsia="宋体"/>
                <w:b/>
                <w:bCs/>
                <w:color w:val="auto"/>
              </w:rPr>
              <w:t>平台</w:t>
            </w:r>
          </w:p>
        </w:tc>
        <w:tc>
          <w:tcPr>
            <w:tcW w:w="1485" w:type="dxa"/>
          </w:tcPr>
          <w:p>
            <w:pPr>
              <w:spacing w:line="312" w:lineRule="auto"/>
              <w:jc w:val="center"/>
              <w:rPr>
                <w:rFonts w:ascii="宋体" w:hAnsi="宋体" w:eastAsia="宋体"/>
                <w:b/>
                <w:bCs/>
                <w:color w:val="auto"/>
              </w:rPr>
            </w:pPr>
            <w:r>
              <w:rPr>
                <w:rFonts w:hint="eastAsia" w:ascii="宋体" w:hAnsi="宋体" w:eastAsia="宋体"/>
                <w:b/>
                <w:bCs/>
                <w:color w:val="auto"/>
              </w:rPr>
              <w:t>功能</w:t>
            </w:r>
          </w:p>
        </w:tc>
        <w:tc>
          <w:tcPr>
            <w:tcW w:w="4770" w:type="dxa"/>
          </w:tcPr>
          <w:p>
            <w:pPr>
              <w:spacing w:line="312" w:lineRule="auto"/>
              <w:jc w:val="center"/>
              <w:rPr>
                <w:rFonts w:ascii="宋体" w:hAnsi="宋体" w:eastAsia="宋体"/>
                <w:b/>
                <w:bCs/>
                <w:color w:val="auto"/>
              </w:rPr>
            </w:pPr>
            <w:r>
              <w:rPr>
                <w:rFonts w:hint="eastAsia" w:ascii="宋体" w:hAnsi="宋体" w:eastAsia="宋体"/>
                <w:b/>
                <w:bCs/>
                <w:color w:val="auto"/>
              </w:rPr>
              <w:t>内涵描述</w:t>
            </w:r>
          </w:p>
        </w:tc>
        <w:tc>
          <w:tcPr>
            <w:tcW w:w="855" w:type="dxa"/>
          </w:tcPr>
          <w:p>
            <w:pPr>
              <w:spacing w:line="312" w:lineRule="auto"/>
              <w:jc w:val="center"/>
              <w:rPr>
                <w:rFonts w:ascii="宋体" w:hAnsi="宋体" w:eastAsia="宋体"/>
                <w:b/>
                <w:bCs/>
                <w:color w:val="auto"/>
              </w:rPr>
            </w:pPr>
            <w:r>
              <w:rPr>
                <w:rFonts w:hint="eastAsia" w:ascii="宋体" w:hAnsi="宋体" w:eastAsia="宋体"/>
                <w:b/>
                <w:bCs/>
                <w:color w:val="auto"/>
              </w:rPr>
              <w:t>软件供应商</w:t>
            </w:r>
          </w:p>
        </w:tc>
        <w:tc>
          <w:tcPr>
            <w:tcW w:w="552" w:type="dxa"/>
          </w:tcPr>
          <w:p>
            <w:pPr>
              <w:spacing w:line="312" w:lineRule="auto"/>
              <w:jc w:val="center"/>
              <w:rPr>
                <w:rFonts w:ascii="宋体" w:hAnsi="宋体" w:eastAsia="宋体"/>
                <w:b/>
                <w:bCs/>
                <w:color w:val="auto"/>
              </w:rPr>
            </w:pPr>
            <w:r>
              <w:rPr>
                <w:rFonts w:hint="eastAsia" w:ascii="宋体" w:hAnsi="宋体" w:eastAsia="宋体"/>
                <w:b/>
                <w:bCs/>
                <w:color w:val="auto"/>
              </w:rPr>
              <w:t>价格</w:t>
            </w:r>
          </w:p>
        </w:tc>
        <w:tc>
          <w:tcPr>
            <w:tcW w:w="625" w:type="dxa"/>
          </w:tcPr>
          <w:p>
            <w:pPr>
              <w:spacing w:line="312" w:lineRule="auto"/>
              <w:jc w:val="center"/>
              <w:rPr>
                <w:rFonts w:ascii="宋体" w:hAnsi="宋体" w:eastAsia="宋体"/>
                <w:b/>
                <w:bCs/>
                <w:color w:val="auto"/>
              </w:rPr>
            </w:pPr>
            <w:r>
              <w:rPr>
                <w:rFonts w:hint="eastAsia" w:ascii="宋体" w:hAnsi="宋体" w:eastAsia="宋体"/>
                <w:b/>
                <w:bCs/>
                <w:color w:val="auto"/>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restart"/>
            <w:vAlign w:val="center"/>
          </w:tcPr>
          <w:p>
            <w:pPr>
              <w:spacing w:line="312" w:lineRule="auto"/>
              <w:jc w:val="center"/>
              <w:rPr>
                <w:rFonts w:ascii="宋体" w:hAnsi="宋体" w:eastAsia="宋体"/>
                <w:color w:val="auto"/>
                <w:szCs w:val="21"/>
              </w:rPr>
            </w:pPr>
            <w:r>
              <w:rPr>
                <w:rFonts w:hint="eastAsia" w:ascii="宋体" w:hAnsi="宋体" w:eastAsia="宋体" w:cs="微软雅黑"/>
                <w:b/>
                <w:bCs/>
                <w:color w:val="auto"/>
                <w:kern w:val="44"/>
                <w:sz w:val="24"/>
                <w:szCs w:val="24"/>
              </w:rPr>
              <w:t>税务管理软件</w:t>
            </w:r>
          </w:p>
        </w:tc>
        <w:tc>
          <w:tcPr>
            <w:tcW w:w="1485" w:type="dxa"/>
            <w:vAlign w:val="center"/>
          </w:tcPr>
          <w:p>
            <w:pPr>
              <w:pStyle w:val="2"/>
              <w:spacing w:line="360" w:lineRule="auto"/>
              <w:ind w:firstLine="0"/>
              <w:jc w:val="center"/>
              <w:rPr>
                <w:rFonts w:ascii="宋体" w:hAnsi="宋体" w:eastAsia="宋体"/>
                <w:b/>
                <w:bCs/>
                <w:color w:val="auto"/>
                <w:sz w:val="21"/>
                <w:szCs w:val="21"/>
              </w:rPr>
            </w:pPr>
            <w:r>
              <w:rPr>
                <w:rFonts w:hint="eastAsia" w:ascii="宋体" w:hAnsi="宋体" w:eastAsia="宋体"/>
                <w:b/>
                <w:bCs/>
                <w:color w:val="auto"/>
                <w:sz w:val="21"/>
                <w:szCs w:val="21"/>
              </w:rPr>
              <w:t>发票查验</w:t>
            </w:r>
          </w:p>
          <w:p>
            <w:pPr>
              <w:spacing w:line="312" w:lineRule="auto"/>
              <w:jc w:val="center"/>
              <w:rPr>
                <w:rFonts w:ascii="宋体" w:hAnsi="宋体" w:eastAsia="宋体"/>
                <w:b/>
                <w:bCs/>
                <w:color w:val="auto"/>
                <w:szCs w:val="21"/>
              </w:rPr>
            </w:pPr>
          </w:p>
        </w:tc>
        <w:tc>
          <w:tcPr>
            <w:tcW w:w="4770" w:type="dxa"/>
          </w:tcPr>
          <w:p>
            <w:pPr>
              <w:pStyle w:val="2"/>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（1）查验接口：通过税局授权通道获取发票全票面信息并判断专票、普票、电子发票的真伪。</w:t>
            </w:r>
          </w:p>
          <w:p>
            <w:pPr>
              <w:pStyle w:val="2"/>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（2）查验服务：提供3年</w:t>
            </w:r>
            <w:r>
              <w:rPr>
                <w:rFonts w:hint="eastAsia" w:ascii="宋体" w:hAnsi="宋体" w:eastAsia="宋体" w:cs="宋体"/>
                <w:color w:val="auto"/>
                <w:sz w:val="24"/>
                <w:szCs w:val="24"/>
                <w:lang w:eastAsia="zh-CN"/>
              </w:rPr>
              <w:t>不限次数</w:t>
            </w:r>
            <w:r>
              <w:rPr>
                <w:rFonts w:hint="eastAsia" w:ascii="宋体" w:hAnsi="宋体" w:eastAsia="宋体" w:cs="宋体"/>
                <w:color w:val="auto"/>
                <w:sz w:val="24"/>
                <w:szCs w:val="24"/>
              </w:rPr>
              <w:t>发票查验服务。</w:t>
            </w:r>
          </w:p>
          <w:p>
            <w:pPr>
              <w:pStyle w:val="2"/>
              <w:spacing w:line="360" w:lineRule="auto"/>
              <w:ind w:firstLine="0"/>
              <w:rPr>
                <w:rFonts w:ascii="宋体" w:hAnsi="宋体" w:eastAsia="宋体"/>
                <w:color w:val="auto"/>
              </w:rPr>
            </w:pPr>
            <w:r>
              <w:rPr>
                <w:rFonts w:hint="eastAsia" w:ascii="宋体" w:hAnsi="宋体" w:eastAsia="宋体" w:cs="宋体"/>
                <w:color w:val="auto"/>
                <w:sz w:val="24"/>
                <w:szCs w:val="24"/>
              </w:rPr>
              <w:t>（3）批量查验：支持多张发票混合查验。</w:t>
            </w:r>
          </w:p>
        </w:tc>
        <w:tc>
          <w:tcPr>
            <w:tcW w:w="855" w:type="dxa"/>
            <w:vMerge w:val="restart"/>
          </w:tcPr>
          <w:p>
            <w:pPr>
              <w:spacing w:line="312" w:lineRule="auto"/>
              <w:jc w:val="left"/>
              <w:rPr>
                <w:rFonts w:ascii="宋体" w:hAnsi="宋体" w:eastAsia="宋体"/>
                <w:color w:val="auto"/>
              </w:rPr>
            </w:pPr>
          </w:p>
        </w:tc>
        <w:tc>
          <w:tcPr>
            <w:tcW w:w="552" w:type="dxa"/>
            <w:vMerge w:val="restart"/>
            <w:vAlign w:val="center"/>
          </w:tcPr>
          <w:p>
            <w:pPr>
              <w:spacing w:line="312" w:lineRule="auto"/>
              <w:jc w:val="center"/>
              <w:rPr>
                <w:rFonts w:ascii="宋体" w:hAnsi="宋体" w:eastAsia="宋体"/>
                <w:color w:val="auto"/>
              </w:rPr>
            </w:pPr>
          </w:p>
        </w:tc>
        <w:tc>
          <w:tcPr>
            <w:tcW w:w="625" w:type="dxa"/>
            <w:vMerge w:val="restart"/>
            <w:vAlign w:val="center"/>
          </w:tcPr>
          <w:p>
            <w:pPr>
              <w:spacing w:line="312" w:lineRule="auto"/>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line="312" w:lineRule="auto"/>
              <w:jc w:val="center"/>
              <w:rPr>
                <w:rFonts w:ascii="宋体" w:hAnsi="宋体" w:eastAsia="宋体"/>
                <w:color w:val="auto"/>
                <w:szCs w:val="21"/>
              </w:rPr>
            </w:pPr>
          </w:p>
        </w:tc>
        <w:tc>
          <w:tcPr>
            <w:tcW w:w="1485" w:type="dxa"/>
            <w:vAlign w:val="center"/>
          </w:tcPr>
          <w:p>
            <w:pPr>
              <w:spacing w:line="312" w:lineRule="auto"/>
              <w:jc w:val="center"/>
              <w:rPr>
                <w:rFonts w:ascii="宋体" w:hAnsi="宋体" w:eastAsia="宋体"/>
                <w:b/>
                <w:bCs/>
                <w:color w:val="auto"/>
                <w:szCs w:val="21"/>
              </w:rPr>
            </w:pPr>
            <w:r>
              <w:rPr>
                <w:rFonts w:hint="eastAsia" w:ascii="宋体" w:hAnsi="宋体" w:eastAsia="宋体"/>
                <w:b/>
                <w:bCs/>
                <w:color w:val="auto"/>
                <w:szCs w:val="21"/>
              </w:rPr>
              <w:t>票池管理</w:t>
            </w:r>
          </w:p>
        </w:tc>
        <w:tc>
          <w:tcPr>
            <w:tcW w:w="4770" w:type="dxa"/>
          </w:tcPr>
          <w:p>
            <w:pPr>
              <w:pStyle w:val="2"/>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（1）发票台账：接收业务系统发票信息，</w:t>
            </w:r>
            <w:bookmarkStart w:id="4" w:name="_GoBack"/>
            <w:bookmarkEnd w:id="4"/>
            <w:r>
              <w:rPr>
                <w:rFonts w:hint="eastAsia" w:ascii="宋体" w:hAnsi="宋体" w:eastAsia="宋体" w:cs="宋体"/>
                <w:color w:val="auto"/>
                <w:sz w:val="24"/>
                <w:szCs w:val="24"/>
              </w:rPr>
              <w:t>形成票池，并根据发票状态（如：正常、冲红、作废）进行分栏展示。</w:t>
            </w:r>
          </w:p>
          <w:p>
            <w:pPr>
              <w:pStyle w:val="2"/>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（2）发票排序：默认根据添加时间排序，可选择根据开票时间排序。</w:t>
            </w:r>
          </w:p>
          <w:p>
            <w:pPr>
              <w:pStyle w:val="2"/>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（3）自定义搜索条件：系统预制了常用搜索条件，并支持用户自定义搜索条件。</w:t>
            </w:r>
          </w:p>
          <w:p>
            <w:pPr>
              <w:pStyle w:val="2"/>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（4）内容搜索：可根据发票相关字段进行全局的快捷搜索，方便用户快速定位需要查找的发票。</w:t>
            </w:r>
          </w:p>
          <w:p>
            <w:pPr>
              <w:pStyle w:val="2"/>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（5）发票列表展现方式：支持配置发票列表的展示方式，包括详情展示、简易缩略展示。</w:t>
            </w:r>
          </w:p>
          <w:p>
            <w:pPr>
              <w:pStyle w:val="2"/>
              <w:spacing w:line="360" w:lineRule="auto"/>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数电发票</w:t>
            </w:r>
            <w:r>
              <w:rPr>
                <w:rFonts w:hint="eastAsia" w:ascii="宋体" w:hAnsi="宋体" w:eastAsia="宋体" w:cs="宋体"/>
                <w:color w:val="auto"/>
                <w:sz w:val="24"/>
                <w:szCs w:val="24"/>
                <w:lang w:eastAsia="zh-CN"/>
              </w:rPr>
              <w:t>报表，并能直接查阅所有发票</w:t>
            </w:r>
          </w:p>
        </w:tc>
        <w:tc>
          <w:tcPr>
            <w:tcW w:w="855" w:type="dxa"/>
            <w:vMerge w:val="continue"/>
          </w:tcPr>
          <w:p>
            <w:pPr>
              <w:spacing w:line="312" w:lineRule="auto"/>
              <w:jc w:val="left"/>
              <w:rPr>
                <w:rFonts w:ascii="宋体" w:hAnsi="宋体" w:eastAsia="宋体"/>
                <w:color w:val="auto"/>
              </w:rPr>
            </w:pPr>
          </w:p>
        </w:tc>
        <w:tc>
          <w:tcPr>
            <w:tcW w:w="552" w:type="dxa"/>
            <w:vMerge w:val="continue"/>
          </w:tcPr>
          <w:p>
            <w:pPr>
              <w:spacing w:line="312" w:lineRule="auto"/>
              <w:jc w:val="left"/>
              <w:rPr>
                <w:rFonts w:ascii="宋体" w:hAnsi="宋体" w:eastAsia="宋体"/>
                <w:color w:val="auto"/>
              </w:rPr>
            </w:pPr>
          </w:p>
        </w:tc>
        <w:tc>
          <w:tcPr>
            <w:tcW w:w="625" w:type="dxa"/>
            <w:vMerge w:val="continue"/>
          </w:tcPr>
          <w:p>
            <w:pPr>
              <w:spacing w:line="312" w:lineRule="auto"/>
              <w:jc w:val="left"/>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line="312" w:lineRule="auto"/>
              <w:jc w:val="center"/>
              <w:rPr>
                <w:rFonts w:ascii="宋体" w:hAnsi="宋体" w:eastAsia="宋体"/>
                <w:color w:val="auto"/>
              </w:rPr>
            </w:pPr>
          </w:p>
        </w:tc>
        <w:tc>
          <w:tcPr>
            <w:tcW w:w="1485" w:type="dxa"/>
            <w:vAlign w:val="center"/>
          </w:tcPr>
          <w:p>
            <w:pPr>
              <w:spacing w:line="312" w:lineRule="auto"/>
              <w:jc w:val="center"/>
              <w:rPr>
                <w:rFonts w:ascii="宋体" w:hAnsi="宋体" w:eastAsia="宋体"/>
                <w:color w:val="auto"/>
                <w:sz w:val="24"/>
                <w:szCs w:val="24"/>
              </w:rPr>
            </w:pPr>
            <w:r>
              <w:rPr>
                <w:rFonts w:hint="eastAsia" w:ascii="宋体" w:hAnsi="宋体" w:eastAsia="宋体"/>
                <w:b/>
                <w:bCs/>
                <w:color w:val="auto"/>
              </w:rPr>
              <w:t>发票后端管理</w:t>
            </w:r>
          </w:p>
        </w:tc>
        <w:tc>
          <w:tcPr>
            <w:tcW w:w="4770" w:type="dxa"/>
          </w:tcPr>
          <w:p>
            <w:pPr>
              <w:pStyle w:val="2"/>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（1）查验日志管理：将所有发票查验的记录进行台账记录，系统预制常用的搜索调整，可根据发票相关的字段信息进行自定义搜索。</w:t>
            </w:r>
          </w:p>
          <w:p>
            <w:pPr>
              <w:pStyle w:val="2"/>
              <w:spacing w:line="360" w:lineRule="auto"/>
              <w:ind w:firstLine="0"/>
              <w:rPr>
                <w:rFonts w:ascii="宋体" w:hAnsi="宋体" w:eastAsia="宋体"/>
                <w:color w:val="auto"/>
              </w:rPr>
            </w:pPr>
            <w:r>
              <w:rPr>
                <w:rFonts w:hint="eastAsia" w:ascii="宋体" w:hAnsi="宋体" w:eastAsia="宋体" w:cs="宋体"/>
                <w:color w:val="auto"/>
                <w:sz w:val="24"/>
                <w:szCs w:val="24"/>
              </w:rPr>
              <w:t>（2）接口使用次数查询：显示查验的购买次数、使用次数、服务结束时间等信息。</w:t>
            </w:r>
          </w:p>
        </w:tc>
        <w:tc>
          <w:tcPr>
            <w:tcW w:w="855" w:type="dxa"/>
            <w:vMerge w:val="continue"/>
          </w:tcPr>
          <w:p>
            <w:pPr>
              <w:spacing w:line="312" w:lineRule="auto"/>
              <w:jc w:val="left"/>
              <w:rPr>
                <w:rFonts w:ascii="宋体" w:hAnsi="宋体" w:eastAsia="宋体"/>
                <w:color w:val="auto"/>
              </w:rPr>
            </w:pPr>
          </w:p>
        </w:tc>
        <w:tc>
          <w:tcPr>
            <w:tcW w:w="552" w:type="dxa"/>
            <w:vMerge w:val="continue"/>
          </w:tcPr>
          <w:p>
            <w:pPr>
              <w:spacing w:line="312" w:lineRule="auto"/>
              <w:jc w:val="left"/>
              <w:rPr>
                <w:rFonts w:ascii="宋体" w:hAnsi="宋体" w:eastAsia="宋体"/>
                <w:color w:val="auto"/>
              </w:rPr>
            </w:pPr>
          </w:p>
        </w:tc>
        <w:tc>
          <w:tcPr>
            <w:tcW w:w="625" w:type="dxa"/>
            <w:vMerge w:val="continue"/>
          </w:tcPr>
          <w:p>
            <w:pPr>
              <w:spacing w:line="312" w:lineRule="auto"/>
              <w:jc w:val="left"/>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spacing w:line="312" w:lineRule="auto"/>
              <w:jc w:val="center"/>
              <w:rPr>
                <w:rFonts w:ascii="宋体" w:hAnsi="宋体" w:eastAsia="宋体"/>
                <w:color w:val="auto"/>
              </w:rPr>
            </w:pPr>
          </w:p>
        </w:tc>
        <w:tc>
          <w:tcPr>
            <w:tcW w:w="1485" w:type="dxa"/>
            <w:vAlign w:val="center"/>
          </w:tcPr>
          <w:p>
            <w:pPr>
              <w:spacing w:line="312" w:lineRule="auto"/>
              <w:jc w:val="center"/>
              <w:rPr>
                <w:rFonts w:ascii="宋体" w:hAnsi="宋体" w:eastAsia="宋体"/>
                <w:b/>
                <w:bCs/>
                <w:color w:val="auto"/>
              </w:rPr>
            </w:pPr>
            <w:r>
              <w:rPr>
                <w:rFonts w:hint="eastAsia" w:ascii="宋体" w:hAnsi="宋体" w:eastAsia="宋体"/>
                <w:b/>
                <w:bCs/>
                <w:color w:val="auto"/>
              </w:rPr>
              <w:t>发票查验真伪通道流量包</w:t>
            </w:r>
          </w:p>
        </w:tc>
        <w:tc>
          <w:tcPr>
            <w:tcW w:w="4770" w:type="dxa"/>
          </w:tcPr>
          <w:p>
            <w:pPr>
              <w:pStyle w:val="2"/>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查验发票真伪</w:t>
            </w:r>
          </w:p>
        </w:tc>
        <w:tc>
          <w:tcPr>
            <w:tcW w:w="855" w:type="dxa"/>
          </w:tcPr>
          <w:p>
            <w:pPr>
              <w:spacing w:line="312" w:lineRule="auto"/>
              <w:jc w:val="left"/>
              <w:rPr>
                <w:rFonts w:ascii="宋体" w:hAnsi="宋体" w:eastAsia="宋体"/>
                <w:color w:val="auto"/>
              </w:rPr>
            </w:pPr>
          </w:p>
        </w:tc>
        <w:tc>
          <w:tcPr>
            <w:tcW w:w="552" w:type="dxa"/>
            <w:vMerge w:val="continue"/>
          </w:tcPr>
          <w:p>
            <w:pPr>
              <w:spacing w:line="312" w:lineRule="auto"/>
              <w:jc w:val="left"/>
              <w:rPr>
                <w:rFonts w:ascii="宋体" w:hAnsi="宋体" w:eastAsia="宋体"/>
                <w:color w:val="auto"/>
              </w:rPr>
            </w:pPr>
          </w:p>
        </w:tc>
        <w:tc>
          <w:tcPr>
            <w:tcW w:w="625" w:type="dxa"/>
            <w:vMerge w:val="continue"/>
          </w:tcPr>
          <w:p>
            <w:pPr>
              <w:spacing w:line="312" w:lineRule="auto"/>
              <w:jc w:val="left"/>
              <w:rPr>
                <w:rFonts w:ascii="宋体" w:hAnsi="宋体" w:eastAsia="宋体"/>
                <w:color w:val="auto"/>
              </w:rPr>
            </w:pPr>
          </w:p>
        </w:tc>
      </w:tr>
    </w:tbl>
    <w:p>
      <w:pPr>
        <w:pStyle w:val="6"/>
        <w:spacing w:after="0" w:line="312" w:lineRule="auto"/>
        <w:rPr>
          <w:lang w:val="en-US"/>
        </w:rPr>
      </w:pPr>
    </w:p>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三、对接口及系统改造的要求</w:t>
      </w:r>
    </w:p>
    <w:p>
      <w:pPr>
        <w:spacing w:line="312" w:lineRule="auto"/>
        <w:rPr>
          <w:rFonts w:ascii="宋体" w:hAnsi="宋体" w:eastAsia="宋体" w:cs="宋体"/>
          <w:b/>
          <w:bCs/>
          <w:sz w:val="24"/>
          <w:szCs w:val="24"/>
        </w:rPr>
      </w:pPr>
      <w:r>
        <w:rPr>
          <w:rFonts w:hint="eastAsia" w:ascii="宋体" w:hAnsi="宋体" w:eastAsia="宋体" w:cs="宋体"/>
          <w:b/>
          <w:bCs/>
          <w:sz w:val="24"/>
          <w:szCs w:val="24"/>
        </w:rPr>
        <w:tab/>
      </w:r>
      <w:r>
        <w:rPr>
          <w:rFonts w:hint="eastAsia" w:ascii="宋体" w:hAnsi="宋体" w:eastAsia="宋体" w:cs="宋体"/>
          <w:b/>
          <w:bCs/>
          <w:sz w:val="24"/>
          <w:szCs w:val="24"/>
        </w:rPr>
        <w:t>质保期和维保期内免费实现以下要求：</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3.1提供全面的接口技术，与第三方系统共享数据和功能，这些接口技术包括中间件技术接口、WEBSEVICE通用接口、数据库级接口、文件文本接口等。</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3.2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3.4提供软件免费升级及个性化修改服务，免费实现院方的个性化需求；软件自身错误类问题提供永久性免费修改服务；</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3.5免费提供医院新增业务信息系统的对接、免费实现医院上级管理部门要求的系统接口对接要求。</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3.6项目不限定用户数、并发数、不限定院区及医疗集团内部使用。</w:t>
      </w:r>
    </w:p>
    <w:p>
      <w:pPr>
        <w:pStyle w:val="17"/>
        <w:spacing w:line="360" w:lineRule="auto"/>
        <w:ind w:firstLineChars="0"/>
        <w:rPr>
          <w:rFonts w:ascii="宋体" w:hAnsi="宋体" w:eastAsia="宋体"/>
          <w:sz w:val="24"/>
          <w:szCs w:val="24"/>
        </w:rPr>
      </w:pPr>
      <w:r>
        <w:rPr>
          <w:rFonts w:hint="eastAsia" w:ascii="宋体" w:hAnsi="宋体" w:eastAsia="宋体"/>
          <w:sz w:val="24"/>
          <w:szCs w:val="24"/>
        </w:rPr>
        <w:t>3.7若医院更换已对接的业务系统、乙方须免费提供与新业务系统的对接及联调服务。</w:t>
      </w:r>
    </w:p>
    <w:p>
      <w:pPr>
        <w:pStyle w:val="17"/>
        <w:spacing w:line="360" w:lineRule="auto"/>
        <w:ind w:firstLineChars="0"/>
        <w:rPr>
          <w:rFonts w:ascii="宋体" w:hAnsi="宋体" w:eastAsia="宋体"/>
          <w:sz w:val="24"/>
          <w:szCs w:val="24"/>
        </w:rPr>
      </w:pPr>
      <w:r>
        <w:rPr>
          <w:rFonts w:hint="eastAsia" w:ascii="宋体" w:hAnsi="宋体" w:eastAsia="宋体"/>
          <w:sz w:val="24"/>
          <w:szCs w:val="24"/>
        </w:rPr>
        <w:t>3.8免费系统改造，支持信创电脑和服务器。</w:t>
      </w:r>
    </w:p>
    <w:p>
      <w:pPr>
        <w:pStyle w:val="6"/>
        <w:spacing w:after="0" w:line="312" w:lineRule="auto"/>
        <w:ind w:firstLine="420"/>
        <w:rPr>
          <w:rFonts w:ascii="宋体" w:hAnsi="宋体" w:eastAsia="宋体" w:cs="宋体"/>
          <w:color w:val="FF0000"/>
          <w:sz w:val="24"/>
          <w:lang w:val="en-US"/>
        </w:rPr>
      </w:pPr>
    </w:p>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四、项目实施要求</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4.1驻场、实施工期要求：合同签订后，7个工作日内项目实施人员必须进场，系统需在2个月内完成项目实施上线，请分别列出需求调研、功能设计、系统集成、项目上线等阶段的工作计划及周期。</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4.2驻场人员要求：</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实施工程师：项目驻场实施工程师需有2年以上本厂商同等项目实施经验。项目实施阶段，驻场实施工程师不得少于1名。</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如需更换实施工程师，厂商需提交书面申请，经院方同意才可更换。</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竞标文件中需提供软件提供商项目驻场人员清单，清单中标明驻场人员详细信息，如姓名、联系方式、技术职称、社保证明（不少于半年）等。</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4.3因厂商与院方存在对需求理解有差异的可能性，要求所有软件功能需求的响应以院方意见为准。</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4.4培训要求：</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培训应至少包括但不限于：投标人税务共享平台系统的安装、部署、维护方法；投标人税务共享平台系统的功能使用培训；</w:t>
      </w:r>
    </w:p>
    <w:p>
      <w:pPr>
        <w:spacing w:line="312" w:lineRule="auto"/>
        <w:ind w:firstLine="480" w:firstLineChars="200"/>
        <w:jc w:val="left"/>
        <w:rPr>
          <w:kern w:val="0"/>
          <w:sz w:val="24"/>
          <w:szCs w:val="24"/>
        </w:rPr>
      </w:pPr>
      <w:r>
        <w:rPr>
          <w:rFonts w:hint="eastAsia" w:ascii="宋体" w:hAnsi="宋体" w:eastAsia="宋体" w:cs="宋体"/>
          <w:sz w:val="24"/>
          <w:szCs w:val="24"/>
        </w:rPr>
        <w:t>对系统使用人员进行系统使用的培训，使操作人掌握基本操作方法、了解软件结构及其功能、了</w:t>
      </w:r>
      <w:r>
        <w:rPr>
          <w:rFonts w:hint="eastAsia" w:ascii="Calibri" w:hAnsi="Calibri" w:eastAsia="宋体" w:cs="宋体"/>
          <w:kern w:val="0"/>
          <w:sz w:val="24"/>
          <w:szCs w:val="24"/>
          <w:lang w:bidi="ar"/>
        </w:rPr>
        <w:t>解模块间的关系以及注意事项；</w:t>
      </w:r>
    </w:p>
    <w:p>
      <w:pPr>
        <w:spacing w:line="312" w:lineRule="auto"/>
        <w:ind w:firstLine="480" w:firstLineChars="200"/>
        <w:jc w:val="left"/>
        <w:rPr>
          <w:rFonts w:ascii="宋体" w:hAnsi="宋体" w:eastAsia="宋体" w:cs="宋体"/>
          <w:sz w:val="24"/>
          <w:szCs w:val="24"/>
        </w:rPr>
      </w:pPr>
      <w:r>
        <w:rPr>
          <w:rFonts w:hint="eastAsia" w:ascii="Calibri" w:hAnsi="Calibri" w:eastAsia="宋体" w:cs="宋体"/>
          <w:kern w:val="0"/>
          <w:sz w:val="24"/>
          <w:szCs w:val="24"/>
          <w:lang w:bidi="ar"/>
        </w:rPr>
        <w:t>对系统管理人员进行培训，使管理员理解和执行系统管理任务，设置和维护</w:t>
      </w:r>
      <w:r>
        <w:rPr>
          <w:rFonts w:hint="eastAsia" w:ascii="宋体" w:hAnsi="宋体" w:eastAsia="宋体" w:cs="宋体"/>
          <w:sz w:val="24"/>
          <w:szCs w:val="24"/>
        </w:rPr>
        <w:t>某些选项，如：配置数据库、管理用户权限、注册等。</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对软件维护人员进行培训，使其能够独立进行软件维护等；</w:t>
      </w:r>
    </w:p>
    <w:p>
      <w:pPr>
        <w:widowControl/>
        <w:spacing w:after="200" w:line="360" w:lineRule="auto"/>
        <w:ind w:firstLine="480" w:firstLineChars="200"/>
        <w:jc w:val="left"/>
        <w:rPr>
          <w:kern w:val="0"/>
          <w:sz w:val="24"/>
          <w:szCs w:val="24"/>
        </w:rPr>
      </w:pPr>
      <w:r>
        <w:rPr>
          <w:rFonts w:hint="eastAsia" w:ascii="Calibri" w:hAnsi="Calibri" w:eastAsia="宋体" w:cs="宋体"/>
          <w:kern w:val="0"/>
          <w:sz w:val="24"/>
          <w:szCs w:val="24"/>
          <w:lang w:bidi="ar"/>
        </w:rPr>
        <w:t>投标人应保证提供最有经验的教员，使决策支持系统的管理员在培训后能够独立地对系统进行操作、管理、维护；</w:t>
      </w:r>
    </w:p>
    <w:p>
      <w:pPr>
        <w:widowControl/>
        <w:spacing w:after="200" w:line="360" w:lineRule="auto"/>
        <w:ind w:firstLine="480" w:firstLineChars="200"/>
        <w:jc w:val="left"/>
        <w:rPr>
          <w:rFonts w:ascii="宋体" w:hAnsi="宋体" w:eastAsia="宋体" w:cs="宋体"/>
          <w:sz w:val="24"/>
          <w:szCs w:val="24"/>
        </w:rPr>
      </w:pPr>
    </w:p>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五、售后服务及其他要求</w:t>
      </w:r>
    </w:p>
    <w:p>
      <w:pPr>
        <w:spacing w:line="312" w:lineRule="auto"/>
        <w:ind w:firstLine="420"/>
        <w:jc w:val="left"/>
        <w:rPr>
          <w:rFonts w:ascii="宋体" w:hAnsi="宋体" w:cs="宋体"/>
          <w:sz w:val="24"/>
          <w:szCs w:val="24"/>
        </w:rPr>
      </w:pPr>
      <w:r>
        <w:rPr>
          <w:rFonts w:hint="eastAsia" w:ascii="宋体" w:hAnsi="宋体" w:cs="宋体"/>
          <w:sz w:val="24"/>
          <w:szCs w:val="24"/>
        </w:rPr>
        <w:t>5.1自本项目整体最终验收之日起，所有产品要求提供</w:t>
      </w:r>
      <w:r>
        <w:rPr>
          <w:rFonts w:hint="eastAsia" w:ascii="宋体" w:hAnsi="宋体" w:cs="宋体"/>
          <w:color w:val="FF0000"/>
          <w:sz w:val="24"/>
          <w:szCs w:val="24"/>
        </w:rPr>
        <w:t>三年</w:t>
      </w:r>
      <w:r>
        <w:rPr>
          <w:rFonts w:hint="eastAsia" w:ascii="宋体" w:hAnsi="宋体" w:cs="宋体"/>
          <w:sz w:val="24"/>
          <w:szCs w:val="24"/>
        </w:rPr>
        <w:t>的免费质保服务。含软硬件维护和接口调试、系统软件升级、</w:t>
      </w:r>
      <w:r>
        <w:rPr>
          <w:rFonts w:hint="eastAsia" w:ascii="Calibri" w:hAnsi="Calibri" w:eastAsia="宋体" w:cs="Times New Roman"/>
          <w:sz w:val="24"/>
          <w:szCs w:val="24"/>
          <w:lang w:bidi="ar"/>
        </w:rPr>
        <w:t>模块更新和漏洞修复、</w:t>
      </w:r>
      <w:r>
        <w:rPr>
          <w:rFonts w:hint="eastAsia" w:ascii="宋体" w:hAnsi="宋体" w:cs="宋体"/>
          <w:sz w:val="24"/>
          <w:szCs w:val="24"/>
        </w:rPr>
        <w:t>技术支持服务、免费培训服务。请详细说明售后服务的内容。</w:t>
      </w:r>
    </w:p>
    <w:p>
      <w:pPr>
        <w:spacing w:line="312" w:lineRule="auto"/>
        <w:ind w:firstLine="420"/>
        <w:jc w:val="left"/>
        <w:rPr>
          <w:rFonts w:ascii="宋体" w:hAnsi="宋体" w:cs="宋体"/>
          <w:sz w:val="24"/>
          <w:szCs w:val="24"/>
        </w:rPr>
      </w:pPr>
      <w:r>
        <w:rPr>
          <w:rFonts w:hint="eastAsia" w:ascii="宋体" w:hAnsi="宋体" w:cs="宋体"/>
          <w:sz w:val="24"/>
          <w:szCs w:val="24"/>
        </w:rPr>
        <w:t>5.2安装调试要求：免费送货上门、安装调试、提供完善的软件系统使用中文操作手册、系统配置、功能配置及接口文档；</w:t>
      </w:r>
    </w:p>
    <w:p>
      <w:pPr>
        <w:spacing w:line="312" w:lineRule="auto"/>
        <w:ind w:firstLine="420"/>
        <w:jc w:val="left"/>
        <w:rPr>
          <w:rFonts w:ascii="宋体" w:hAnsi="宋体" w:cs="宋体"/>
          <w:sz w:val="24"/>
          <w:szCs w:val="24"/>
        </w:rPr>
      </w:pPr>
      <w:r>
        <w:rPr>
          <w:rFonts w:hint="eastAsia" w:ascii="宋体" w:hAnsi="宋体" w:cs="宋体"/>
          <w:sz w:val="24"/>
          <w:szCs w:val="24"/>
        </w:rPr>
        <w:t>5.3原厂技术人员免费提供售后服务，含电话支持、现场响应、远程操作、网上客服中心等多种方式服务，应做到7×24小时全天候电话或微信等常用联系方式响应。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spacing w:line="312" w:lineRule="auto"/>
        <w:ind w:firstLine="420"/>
        <w:jc w:val="left"/>
        <w:rPr>
          <w:rFonts w:ascii="宋体" w:hAnsi="宋体" w:cs="宋体"/>
          <w:sz w:val="24"/>
          <w:szCs w:val="24"/>
        </w:rPr>
      </w:pPr>
      <w:r>
        <w:rPr>
          <w:rFonts w:hint="eastAsia" w:ascii="宋体" w:hAnsi="宋体" w:eastAsia="宋体" w:cs="微软雅黑"/>
          <w:sz w:val="24"/>
          <w:szCs w:val="24"/>
        </w:rPr>
        <w:t>5.4</w:t>
      </w:r>
      <w:r>
        <w:rPr>
          <w:rFonts w:hint="eastAsia" w:ascii="宋体" w:hAnsi="宋体" w:cs="宋体"/>
          <w:sz w:val="24"/>
          <w:szCs w:val="24"/>
        </w:rPr>
        <w:t>供应商提供原厂技术人员定期回访巡检服务，通过电话或其他方式了解产品使用情况及网络安全情况，按院方要求巡检，每年的巡检不得少于四次，并形成巡检报告反馈给我院。</w:t>
      </w:r>
    </w:p>
    <w:p>
      <w:pPr>
        <w:pStyle w:val="2"/>
      </w:pPr>
    </w:p>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六、违约责任</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投标方所提供的产品/软件规格、技术标准、软件安全性能不合格或不符合相关要求的，应及时更换，更换不及时的按逾期交付处罚；因质量问题我院不同意接收，投标方应向我院支付违约货款额5%违约金并赔偿我院经济损失。</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6.2若投标方提供的产品或软件侵犯了第三方合法权益而引发的任何纠纷或诉讼，均由投标方负责交涉并承担全部责任。</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6.3</w:t>
      </w:r>
      <w:r>
        <w:rPr>
          <w:rFonts w:hint="eastAsia" w:ascii="宋体" w:hAnsi="宋体" w:eastAsia="宋体" w:cs="宋体"/>
          <w:sz w:val="24"/>
        </w:rPr>
        <w:t>投标方逾期</w:t>
      </w:r>
      <w:r>
        <w:rPr>
          <w:rFonts w:hint="eastAsia" w:ascii="宋体" w:hAnsi="宋体" w:eastAsia="宋体" w:cs="宋体"/>
          <w:sz w:val="24"/>
          <w:lang w:val="en-US"/>
        </w:rPr>
        <w:t>交付</w:t>
      </w:r>
      <w:r>
        <w:rPr>
          <w:rFonts w:hint="eastAsia" w:ascii="宋体" w:hAnsi="宋体" w:eastAsia="宋体" w:cs="宋体"/>
          <w:sz w:val="24"/>
        </w:rPr>
        <w:t>的，每天向甲方偿付违约货款额3‰违约金，但违约金累计不得超过违约货款额 5% ，超过30天对方有权解除合同，违约方承担因此给对方造成的经济损失；</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6.4售后服务违约：</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6.4.1每缺少1次巡检记录，投标方应向甲方支付违约金5000元；</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6.4.2投标方未按本技术要求和响应文件中规定的其他服务承诺提供售后服务的，每次投标方应按合同合计金额的5% 向甲方支付违约金。</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rPr>
        <w:t>6.</w:t>
      </w:r>
      <w:r>
        <w:rPr>
          <w:rFonts w:hint="eastAsia" w:ascii="宋体" w:hAnsi="宋体" w:eastAsia="宋体" w:cs="宋体"/>
          <w:sz w:val="24"/>
          <w:lang w:val="en-US"/>
        </w:rPr>
        <w:t>5</w:t>
      </w:r>
      <w:r>
        <w:rPr>
          <w:rFonts w:hint="eastAsia" w:ascii="宋体" w:hAnsi="宋体" w:eastAsia="宋体" w:cs="宋体"/>
          <w:sz w:val="24"/>
        </w:rPr>
        <w:t>合同签订后7个工作日内进场实施，计划实施周期需在合同内写明。因软件提供商原因逾期不进场实施的，需按每天向院方支付合同款金额3‰作为违约金，超过30天，甲有权解除合同，乙方需承担因此给院方造成的经济损失；</w:t>
      </w:r>
      <w:r>
        <w:rPr>
          <w:rFonts w:hint="eastAsia" w:ascii="宋体" w:hAnsi="宋体" w:eastAsia="宋体" w:cs="宋体"/>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6.6任何一方违反本技术要求中“保密、廉洁条款”要求的，应承担相应的违约责任并赔偿由此造成的损失，损失累计金额超过合同款项的5%的，损失方同时有权终止合同并收回已付款项。</w:t>
      </w:r>
    </w:p>
    <w:p>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6.7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pPr>
        <w:pStyle w:val="6"/>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6.8厂商不得在提供的硬件及软件系统中设置包括且不限于如：软硬件加密狗、加密软件、时间锁、授权码等限制硬件及软件系统正常运行的措施，如有特殊需要必须提交纸质文件说明，经过我院签字同意才可设置，否则视为乙方违约，乙方需要支付医院违约金500000元（伍拾万元），在此基础上医院有权要求乙方退回甲方已支付的所有款项。如对医院造成损失的，甲方有权要求乙方赔偿。</w:t>
      </w:r>
    </w:p>
    <w:p>
      <w:pPr>
        <w:pStyle w:val="6"/>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6.9</w:t>
      </w:r>
      <w:r>
        <w:rPr>
          <w:rFonts w:ascii="宋体" w:hAnsi="宋体" w:eastAsia="宋体" w:cs="宋体"/>
          <w:kern w:val="2"/>
          <w:sz w:val="24"/>
          <w:lang w:val="en-US"/>
        </w:rPr>
        <w:t>厂商驻场工程师人员变更必须得到医院书面同意，否则视为</w:t>
      </w:r>
      <w:r>
        <w:rPr>
          <w:rFonts w:hint="eastAsia" w:ascii="宋体" w:hAnsi="宋体" w:eastAsia="宋体" w:cs="宋体"/>
          <w:kern w:val="2"/>
          <w:sz w:val="24"/>
          <w:lang w:val="en-US"/>
        </w:rPr>
        <w:t>乙方</w:t>
      </w:r>
      <w:r>
        <w:rPr>
          <w:rFonts w:ascii="宋体" w:hAnsi="宋体" w:eastAsia="宋体" w:cs="宋体"/>
          <w:kern w:val="2"/>
          <w:sz w:val="24"/>
          <w:lang w:val="en-US"/>
        </w:rPr>
        <w:t>违约，</w:t>
      </w:r>
      <w:r>
        <w:rPr>
          <w:rFonts w:hint="eastAsia" w:ascii="宋体" w:hAnsi="宋体" w:eastAsia="宋体" w:cs="宋体"/>
          <w:kern w:val="2"/>
          <w:sz w:val="24"/>
          <w:lang w:val="en-US"/>
        </w:rPr>
        <w:t>甲</w:t>
      </w:r>
      <w:r>
        <w:rPr>
          <w:rFonts w:ascii="宋体" w:hAnsi="宋体" w:eastAsia="宋体" w:cs="宋体"/>
          <w:kern w:val="2"/>
          <w:sz w:val="24"/>
          <w:lang w:val="en-US"/>
        </w:rPr>
        <w:t>方有权按500</w:t>
      </w:r>
      <w:r>
        <w:rPr>
          <w:rFonts w:hint="eastAsia" w:ascii="宋体" w:hAnsi="宋体" w:eastAsia="宋体" w:cs="宋体"/>
          <w:kern w:val="2"/>
          <w:sz w:val="24"/>
          <w:lang w:val="en-US"/>
        </w:rPr>
        <w:t>0</w:t>
      </w:r>
      <w:r>
        <w:rPr>
          <w:rFonts w:ascii="宋体" w:hAnsi="宋体" w:eastAsia="宋体" w:cs="宋体"/>
          <w:kern w:val="2"/>
          <w:sz w:val="24"/>
          <w:lang w:val="en-US"/>
        </w:rPr>
        <w:t>元/人/次从合同总款中扣除</w:t>
      </w:r>
      <w:r>
        <w:rPr>
          <w:rFonts w:hint="eastAsia" w:ascii="宋体" w:hAnsi="宋体" w:eastAsia="宋体" w:cs="宋体"/>
          <w:kern w:val="2"/>
          <w:sz w:val="24"/>
          <w:lang w:val="en-US"/>
        </w:rPr>
        <w:t>。</w:t>
      </w:r>
    </w:p>
    <w:p>
      <w:pPr>
        <w:pStyle w:val="6"/>
        <w:spacing w:after="0" w:line="312" w:lineRule="auto"/>
        <w:ind w:firstLine="420"/>
        <w:rPr>
          <w:rFonts w:ascii="宋体" w:hAnsi="宋体" w:eastAsia="宋体" w:cs="宋体"/>
          <w:sz w:val="24"/>
          <w:lang w:val="en-US"/>
        </w:rPr>
      </w:pPr>
      <w:r>
        <w:rPr>
          <w:rFonts w:hint="eastAsia" w:ascii="宋体" w:hAnsi="宋体" w:eastAsia="宋体" w:cs="宋体"/>
          <w:kern w:val="2"/>
          <w:sz w:val="24"/>
          <w:lang w:val="en-US"/>
        </w:rPr>
        <w:t>6.10如合同乙方非软件提供商，软件提供商需承担连带责任，即本技术参数中对乙方的所有约束要求、违约条件均等同于对软件提供商的</w:t>
      </w:r>
      <w:r>
        <w:rPr>
          <w:rFonts w:hint="eastAsia" w:ascii="宋体" w:hAnsi="宋体" w:eastAsia="宋体" w:cs="宋体"/>
          <w:sz w:val="24"/>
          <w:lang w:val="en-US"/>
        </w:rPr>
        <w:t>要求，甲方在追究乙方违约责任的同时可以同步追究软件提供商同等责任，乙方在投标时必须提供软件提供商的售后服务承诺书原件（须加盖软件提供商公章）。</w:t>
      </w:r>
    </w:p>
    <w:p>
      <w:pPr>
        <w:pStyle w:val="6"/>
        <w:spacing w:after="0" w:line="312" w:lineRule="auto"/>
        <w:ind w:firstLine="420"/>
        <w:rPr>
          <w:rFonts w:ascii="宋体" w:hAnsi="宋体" w:eastAsia="宋体" w:cs="宋体"/>
          <w:sz w:val="24"/>
          <w:lang w:val="en-US"/>
        </w:rPr>
      </w:pPr>
    </w:p>
    <w:bookmarkEnd w:id="1"/>
    <w:p>
      <w:pPr>
        <w:pStyle w:val="3"/>
        <w:numPr>
          <w:ilvl w:val="0"/>
          <w:numId w:val="0"/>
        </w:numPr>
        <w:spacing w:before="0" w:after="0" w:line="312" w:lineRule="auto"/>
        <w:rPr>
          <w:rFonts w:ascii="宋体" w:hAnsi="宋体"/>
          <w:bCs w:val="0"/>
          <w:sz w:val="32"/>
          <w:szCs w:val="32"/>
        </w:rPr>
      </w:pPr>
      <w:bookmarkStart w:id="2" w:name="_Toc507405799"/>
      <w:bookmarkStart w:id="3" w:name="_Toc507405800"/>
      <w:r>
        <w:rPr>
          <w:rFonts w:hint="eastAsia" w:ascii="宋体" w:hAnsi="宋体"/>
          <w:bCs w:val="0"/>
          <w:sz w:val="32"/>
          <w:szCs w:val="32"/>
        </w:rPr>
        <w:t>七、保密、廉洁协议</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7.2 双方不得以任何方式向第三方泄露本项目的软件技术、设计方案以及功能配置等内容。</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7.3不以任何方式向第三方泄露在本协议开发实施过程中获取的经济、技术、数据以及双方其他非公开的信息。</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7.5保密期限自本合同生效之日起永久有效，如乙方需解除保密协议需向甲方提出书面申请，双方协商同意签字确认后方可解除。</w:t>
      </w:r>
    </w:p>
    <w:p>
      <w:pPr>
        <w:pStyle w:val="6"/>
        <w:spacing w:after="0" w:line="312" w:lineRule="auto"/>
        <w:rPr>
          <w:lang w:val="en-US"/>
        </w:rPr>
      </w:pPr>
    </w:p>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八、报价</w:t>
      </w:r>
    </w:p>
    <w:p>
      <w:pPr>
        <w:pStyle w:val="6"/>
        <w:spacing w:after="0" w:line="312" w:lineRule="auto"/>
        <w:ind w:firstLine="420"/>
        <w:rPr>
          <w:rFonts w:ascii="宋体" w:hAnsi="宋体" w:eastAsia="宋体" w:cs="宋体"/>
          <w:sz w:val="24"/>
        </w:rPr>
      </w:pPr>
      <w:r>
        <w:rPr>
          <w:rFonts w:hint="eastAsia" w:ascii="宋体" w:hAnsi="宋体" w:eastAsia="宋体" w:cs="宋体"/>
          <w:sz w:val="24"/>
          <w:lang w:val="en-US"/>
        </w:rPr>
        <w:t>8.1</w:t>
      </w:r>
      <w:r>
        <w:rPr>
          <w:rFonts w:hint="eastAsia" w:ascii="宋体" w:hAnsi="宋体" w:eastAsia="宋体" w:cs="宋体"/>
          <w:sz w:val="24"/>
        </w:rPr>
        <w:t>竞标文件按系统模块报价，报价表价格包含系统软硬件费用、产品安装、调试实施、培训费用、产品升级费用、</w:t>
      </w:r>
      <w:r>
        <w:rPr>
          <w:rFonts w:hint="eastAsia" w:ascii="宋体" w:hAnsi="宋体" w:eastAsia="宋体"/>
          <w:sz w:val="24"/>
        </w:rPr>
        <w:t>接口费（包括第三方厂家的接口费）等费用</w:t>
      </w:r>
      <w:r>
        <w:rPr>
          <w:rFonts w:hint="eastAsia" w:ascii="宋体" w:hAnsi="宋体" w:eastAsia="宋体" w:cs="宋体"/>
          <w:sz w:val="24"/>
        </w:rPr>
        <w:t>，以及明示所有责任、义务和一切风险。</w:t>
      </w:r>
    </w:p>
    <w:p>
      <w:pPr>
        <w:pStyle w:val="6"/>
        <w:spacing w:after="0" w:line="312" w:lineRule="auto"/>
        <w:ind w:firstLine="420"/>
        <w:rPr>
          <w:rFonts w:ascii="宋体" w:hAnsi="宋体" w:eastAsia="宋体" w:cs="宋体"/>
          <w:sz w:val="24"/>
        </w:rPr>
      </w:pPr>
      <w:r>
        <w:rPr>
          <w:rFonts w:hint="eastAsia" w:ascii="宋体" w:hAnsi="宋体" w:eastAsia="宋体" w:cs="宋体"/>
          <w:sz w:val="24"/>
          <w:lang w:val="en-US"/>
        </w:rPr>
        <w:t>8.2</w:t>
      </w:r>
      <w:r>
        <w:rPr>
          <w:rFonts w:hint="eastAsia" w:ascii="宋体" w:hAnsi="宋体" w:eastAsia="宋体" w:cs="宋体"/>
          <w:sz w:val="24"/>
        </w:rPr>
        <w:t>竞标文件需提供</w:t>
      </w:r>
      <w:r>
        <w:rPr>
          <w:rFonts w:hint="eastAsia" w:ascii="宋体" w:hAnsi="宋体" w:cs="宋体"/>
          <w:sz w:val="24"/>
        </w:rPr>
        <w:t>维保期方案及报价</w:t>
      </w:r>
      <w:r>
        <w:rPr>
          <w:rFonts w:hint="eastAsia" w:ascii="宋体" w:hAnsi="宋体" w:eastAsia="宋体" w:cs="宋体"/>
          <w:sz w:val="24"/>
        </w:rPr>
        <w:t>。</w:t>
      </w:r>
    </w:p>
    <w:p>
      <w:pPr>
        <w:pStyle w:val="6"/>
        <w:spacing w:after="0" w:line="312" w:lineRule="auto"/>
        <w:ind w:firstLine="420"/>
        <w:rPr>
          <w:rFonts w:ascii="宋体" w:hAnsi="宋体" w:eastAsia="宋体" w:cs="宋体"/>
          <w:sz w:val="24"/>
        </w:rPr>
      </w:pPr>
      <w:r>
        <w:rPr>
          <w:rFonts w:hint="eastAsia" w:ascii="宋体" w:hAnsi="宋体" w:eastAsia="宋体" w:cs="宋体"/>
          <w:sz w:val="24"/>
          <w:lang w:val="en-US"/>
        </w:rPr>
        <w:t>8.3</w:t>
      </w:r>
      <w:r>
        <w:rPr>
          <w:rFonts w:hint="eastAsia" w:ascii="宋体" w:hAnsi="宋体" w:eastAsia="宋体" w:cs="宋体"/>
          <w:sz w:val="24"/>
        </w:rPr>
        <w:t>竞标文件需提供系统详细图文介绍。系统实施验收参照本技术文档及竞标文件提供的图文介绍为依据。</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8.4如项目功能二次开发内容涉及我院采购的第三方产品，请在标书内标明哪些功能的实现需要二次开发接口。</w:t>
      </w:r>
    </w:p>
    <w:p>
      <w:pPr>
        <w:pStyle w:val="2"/>
      </w:pPr>
    </w:p>
    <w:p>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九、付款方式</w:t>
      </w:r>
      <w:bookmarkEnd w:id="2"/>
    </w:p>
    <w:p>
      <w:pPr>
        <w:pStyle w:val="17"/>
        <w:spacing w:line="360" w:lineRule="auto"/>
        <w:ind w:firstLine="614" w:firstLineChars="256"/>
        <w:rPr>
          <w:sz w:val="24"/>
        </w:rPr>
      </w:pPr>
      <w:r>
        <w:rPr>
          <w:rFonts w:hint="eastAsia" w:ascii="宋体" w:hAnsi="宋体" w:eastAsia="宋体" w:cs="微软雅黑"/>
          <w:sz w:val="24"/>
          <w:szCs w:val="24"/>
        </w:rPr>
        <w:t>项目双方签订合同，</w:t>
      </w:r>
      <w:r>
        <w:rPr>
          <w:rFonts w:hint="eastAsia" w:ascii="宋体" w:hAnsi="宋体" w:eastAsia="宋体"/>
          <w:sz w:val="24"/>
          <w:szCs w:val="24"/>
        </w:rPr>
        <w:t>项目上线稳定运行1个月后，</w:t>
      </w:r>
      <w:r>
        <w:rPr>
          <w:rFonts w:hint="eastAsia" w:ascii="宋体" w:hAnsi="宋体" w:eastAsia="宋体" w:cs="微软雅黑"/>
          <w:sz w:val="24"/>
          <w:szCs w:val="24"/>
        </w:rPr>
        <w:t>用户支付合同款项的30%；合同中所有功能及模块实施完毕，系统上线稳定运行3个月后，启动项目验收，验收合格后甲方支付合同款项的60%，自验收合格之日起，</w:t>
      </w:r>
      <w:bookmarkEnd w:id="3"/>
      <w:r>
        <w:rPr>
          <w:rFonts w:hint="eastAsia" w:ascii="宋体" w:hAnsi="宋体" w:eastAsia="宋体"/>
          <w:sz w:val="24"/>
          <w:szCs w:val="24"/>
        </w:rPr>
        <w:t>稳定运行1年后，甲方支付合同款项的10%（不计利息）。</w:t>
      </w: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C34DA"/>
    <w:multiLevelType w:val="singleLevel"/>
    <w:tmpl w:val="94FC34DA"/>
    <w:lvl w:ilvl="0" w:tentative="0">
      <w:start w:val="2"/>
      <w:numFmt w:val="chineseCounting"/>
      <w:suff w:val="nothing"/>
      <w:lvlText w:val="%1、"/>
      <w:lvlJc w:val="left"/>
      <w:rPr>
        <w:rFonts w:hint="eastAsia"/>
      </w:rPr>
    </w:lvl>
  </w:abstractNum>
  <w:abstractNum w:abstractNumId="1">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E2410"/>
    <w:rsid w:val="001A11FC"/>
    <w:rsid w:val="001A1C12"/>
    <w:rsid w:val="002A29C0"/>
    <w:rsid w:val="00306E6E"/>
    <w:rsid w:val="00364715"/>
    <w:rsid w:val="003E62DF"/>
    <w:rsid w:val="00435C7C"/>
    <w:rsid w:val="004563EA"/>
    <w:rsid w:val="00481560"/>
    <w:rsid w:val="00491534"/>
    <w:rsid w:val="004D3BA6"/>
    <w:rsid w:val="005D449A"/>
    <w:rsid w:val="006A3CAE"/>
    <w:rsid w:val="006C202C"/>
    <w:rsid w:val="006E7AFA"/>
    <w:rsid w:val="00752948"/>
    <w:rsid w:val="00834FD6"/>
    <w:rsid w:val="008C322F"/>
    <w:rsid w:val="0092764A"/>
    <w:rsid w:val="00960C84"/>
    <w:rsid w:val="009B2B55"/>
    <w:rsid w:val="00A140D3"/>
    <w:rsid w:val="00B759E0"/>
    <w:rsid w:val="00BA5B12"/>
    <w:rsid w:val="00C24552"/>
    <w:rsid w:val="00C46B82"/>
    <w:rsid w:val="00D24010"/>
    <w:rsid w:val="00D27096"/>
    <w:rsid w:val="00D5380E"/>
    <w:rsid w:val="00DC1FBB"/>
    <w:rsid w:val="00E61AD4"/>
    <w:rsid w:val="00F13AA1"/>
    <w:rsid w:val="020017C0"/>
    <w:rsid w:val="038608DA"/>
    <w:rsid w:val="04E87898"/>
    <w:rsid w:val="0675471C"/>
    <w:rsid w:val="06DF14B2"/>
    <w:rsid w:val="072E01FC"/>
    <w:rsid w:val="0A791D80"/>
    <w:rsid w:val="0F2A1F3D"/>
    <w:rsid w:val="109B068D"/>
    <w:rsid w:val="13176E6C"/>
    <w:rsid w:val="14782DB8"/>
    <w:rsid w:val="14AF00BD"/>
    <w:rsid w:val="153D4F2B"/>
    <w:rsid w:val="165C1DAE"/>
    <w:rsid w:val="16ED2D59"/>
    <w:rsid w:val="17536FF6"/>
    <w:rsid w:val="19151124"/>
    <w:rsid w:val="1A251034"/>
    <w:rsid w:val="1AA944D3"/>
    <w:rsid w:val="1B5C436C"/>
    <w:rsid w:val="1B91509A"/>
    <w:rsid w:val="1BD0797E"/>
    <w:rsid w:val="1CF001FD"/>
    <w:rsid w:val="1D9262D5"/>
    <w:rsid w:val="22293C01"/>
    <w:rsid w:val="224243ED"/>
    <w:rsid w:val="24DA1462"/>
    <w:rsid w:val="251F0377"/>
    <w:rsid w:val="25D43FBF"/>
    <w:rsid w:val="2669710C"/>
    <w:rsid w:val="26AA16D4"/>
    <w:rsid w:val="27F31C28"/>
    <w:rsid w:val="284C2F0D"/>
    <w:rsid w:val="28733C17"/>
    <w:rsid w:val="2A3F32A8"/>
    <w:rsid w:val="2CBD7117"/>
    <w:rsid w:val="2D8769B7"/>
    <w:rsid w:val="2E55261B"/>
    <w:rsid w:val="2E81497E"/>
    <w:rsid w:val="2FE30E4C"/>
    <w:rsid w:val="313B7BFC"/>
    <w:rsid w:val="31421E13"/>
    <w:rsid w:val="336E63A9"/>
    <w:rsid w:val="33C55A8C"/>
    <w:rsid w:val="34A02F04"/>
    <w:rsid w:val="358951EB"/>
    <w:rsid w:val="35C51BF5"/>
    <w:rsid w:val="367D4F11"/>
    <w:rsid w:val="3A8A22EE"/>
    <w:rsid w:val="3A965B44"/>
    <w:rsid w:val="3ADB68BF"/>
    <w:rsid w:val="3B4F3BCB"/>
    <w:rsid w:val="3D655CAD"/>
    <w:rsid w:val="3DCF123E"/>
    <w:rsid w:val="3FFE146B"/>
    <w:rsid w:val="40977F84"/>
    <w:rsid w:val="41971DBD"/>
    <w:rsid w:val="429E47BC"/>
    <w:rsid w:val="455A3219"/>
    <w:rsid w:val="457173F8"/>
    <w:rsid w:val="45BD4F54"/>
    <w:rsid w:val="47FA24B7"/>
    <w:rsid w:val="480C0CC5"/>
    <w:rsid w:val="49C017DB"/>
    <w:rsid w:val="4F640350"/>
    <w:rsid w:val="503D6424"/>
    <w:rsid w:val="507D710A"/>
    <w:rsid w:val="50844495"/>
    <w:rsid w:val="508670F0"/>
    <w:rsid w:val="50A873B9"/>
    <w:rsid w:val="523C29DB"/>
    <w:rsid w:val="52C84CF5"/>
    <w:rsid w:val="54361EC0"/>
    <w:rsid w:val="54E82BB7"/>
    <w:rsid w:val="55B43D13"/>
    <w:rsid w:val="562C3FA0"/>
    <w:rsid w:val="564447CA"/>
    <w:rsid w:val="565534C3"/>
    <w:rsid w:val="56864135"/>
    <w:rsid w:val="56F00FF4"/>
    <w:rsid w:val="5714335E"/>
    <w:rsid w:val="585573E7"/>
    <w:rsid w:val="5A334C18"/>
    <w:rsid w:val="5AA42BB9"/>
    <w:rsid w:val="5C3D4E07"/>
    <w:rsid w:val="5C4B79F0"/>
    <w:rsid w:val="5C6164F3"/>
    <w:rsid w:val="5EB96E82"/>
    <w:rsid w:val="5EEF047E"/>
    <w:rsid w:val="5F0714D1"/>
    <w:rsid w:val="606A2F3D"/>
    <w:rsid w:val="62072814"/>
    <w:rsid w:val="63EF6D4C"/>
    <w:rsid w:val="65EF576E"/>
    <w:rsid w:val="67234BE8"/>
    <w:rsid w:val="67C37F93"/>
    <w:rsid w:val="68B72934"/>
    <w:rsid w:val="69A9737D"/>
    <w:rsid w:val="6A5B6461"/>
    <w:rsid w:val="6B9E401E"/>
    <w:rsid w:val="6D8F4115"/>
    <w:rsid w:val="6DCC4A2B"/>
    <w:rsid w:val="6E14226D"/>
    <w:rsid w:val="711C77D0"/>
    <w:rsid w:val="72187B4D"/>
    <w:rsid w:val="73051406"/>
    <w:rsid w:val="73F71B2F"/>
    <w:rsid w:val="746B350A"/>
    <w:rsid w:val="7524075C"/>
    <w:rsid w:val="752602C5"/>
    <w:rsid w:val="76386E83"/>
    <w:rsid w:val="76C64F98"/>
    <w:rsid w:val="79792DFF"/>
    <w:rsid w:val="7A965BC6"/>
    <w:rsid w:val="7AB427B8"/>
    <w:rsid w:val="7B141FB2"/>
    <w:rsid w:val="7E082ADC"/>
    <w:rsid w:val="7ED45A9B"/>
    <w:rsid w:val="7F895F01"/>
    <w:rsid w:val="7FA1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22"/>
    <w:semiHidden/>
    <w:unhideWhenUsed/>
    <w:qFormat/>
    <w:uiPriority w:val="0"/>
    <w:pPr>
      <w:keepNext/>
      <w:keepLines/>
      <w:spacing w:before="260" w:after="260" w:line="412" w:lineRule="auto"/>
      <w:outlineLvl w:val="1"/>
    </w:pPr>
    <w:rPr>
      <w:rFonts w:ascii="Arial" w:hAnsi="Arial" w:eastAsia="黑体" w:cs="Times New Roman"/>
      <w:b/>
      <w:sz w:val="32"/>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ind w:firstLine="630"/>
    </w:pPr>
    <w:rPr>
      <w:sz w:val="32"/>
      <w:szCs w:val="20"/>
    </w:rPr>
  </w:style>
  <w:style w:type="paragraph" w:styleId="5">
    <w:name w:val="annotation text"/>
    <w:basedOn w:val="1"/>
    <w:link w:val="23"/>
    <w:qFormat/>
    <w:uiPriority w:val="0"/>
    <w:pPr>
      <w:jc w:val="left"/>
    </w:pPr>
  </w:style>
  <w:style w:type="paragraph" w:styleId="6">
    <w:name w:val="Body Text"/>
    <w:basedOn w:val="1"/>
    <w:link w:val="21"/>
    <w:qFormat/>
    <w:uiPriority w:val="0"/>
    <w:pPr>
      <w:spacing w:after="120"/>
    </w:pPr>
    <w:rPr>
      <w:rFonts w:ascii="Times New Roman" w:hAnsi="Times New Roman"/>
      <w:kern w:val="0"/>
      <w:sz w:val="20"/>
      <w:szCs w:val="24"/>
      <w:lang w:val="zh-CN"/>
    </w:rPr>
  </w:style>
  <w:style w:type="paragraph" w:styleId="7">
    <w:name w:val="Balloon Text"/>
    <w:basedOn w:val="1"/>
    <w:link w:val="25"/>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annotation subject"/>
    <w:basedOn w:val="5"/>
    <w:next w:val="5"/>
    <w:link w:val="24"/>
    <w:qFormat/>
    <w:uiPriority w:val="0"/>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HTML Code"/>
    <w:basedOn w:val="14"/>
    <w:unhideWhenUsed/>
    <w:qFormat/>
    <w:uiPriority w:val="99"/>
    <w:rPr>
      <w:rFonts w:ascii="宋体" w:hAnsi="宋体" w:eastAsia="宋体" w:cs="宋体"/>
      <w:sz w:val="24"/>
      <w:szCs w:val="24"/>
    </w:rPr>
  </w:style>
  <w:style w:type="character" w:styleId="16">
    <w:name w:val="annotation reference"/>
    <w:basedOn w:val="14"/>
    <w:qFormat/>
    <w:uiPriority w:val="0"/>
    <w:rPr>
      <w:sz w:val="21"/>
      <w:szCs w:val="21"/>
    </w:rPr>
  </w:style>
  <w:style w:type="paragraph" w:styleId="17">
    <w:name w:val="List Paragraph"/>
    <w:basedOn w:val="1"/>
    <w:qFormat/>
    <w:uiPriority w:val="34"/>
    <w:pPr>
      <w:ind w:firstLine="420" w:firstLineChars="200"/>
    </w:pPr>
  </w:style>
  <w:style w:type="paragraph" w:customStyle="1" w:styleId="18">
    <w:name w:val="p15"/>
    <w:basedOn w:val="1"/>
    <w:qFormat/>
    <w:uiPriority w:val="0"/>
    <w:pPr>
      <w:widowControl/>
      <w:ind w:firstLine="420"/>
    </w:pPr>
    <w:rPr>
      <w:kern w:val="0"/>
      <w:szCs w:val="21"/>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 w:type="character" w:customStyle="1" w:styleId="21">
    <w:name w:val="正文文本 Char"/>
    <w:basedOn w:val="14"/>
    <w:link w:val="6"/>
    <w:qFormat/>
    <w:uiPriority w:val="0"/>
    <w:rPr>
      <w:kern w:val="2"/>
      <w:sz w:val="21"/>
      <w:szCs w:val="24"/>
    </w:rPr>
  </w:style>
  <w:style w:type="character" w:customStyle="1" w:styleId="22">
    <w:name w:val="标题 2 Char"/>
    <w:basedOn w:val="14"/>
    <w:link w:val="4"/>
    <w:qFormat/>
    <w:uiPriority w:val="0"/>
    <w:rPr>
      <w:rFonts w:hint="default" w:ascii="Arial" w:hAnsi="Arial" w:eastAsia="黑体" w:cs="Arial"/>
      <w:b/>
      <w:kern w:val="2"/>
      <w:sz w:val="32"/>
      <w:szCs w:val="24"/>
    </w:rPr>
  </w:style>
  <w:style w:type="character" w:customStyle="1" w:styleId="23">
    <w:name w:val="批注文字 Char"/>
    <w:basedOn w:val="14"/>
    <w:link w:val="5"/>
    <w:qFormat/>
    <w:uiPriority w:val="0"/>
    <w:rPr>
      <w:rFonts w:asciiTheme="minorHAnsi" w:hAnsiTheme="minorHAnsi" w:eastAsiaTheme="minorEastAsia" w:cstheme="minorBidi"/>
      <w:kern w:val="2"/>
      <w:sz w:val="21"/>
      <w:szCs w:val="22"/>
    </w:rPr>
  </w:style>
  <w:style w:type="character" w:customStyle="1" w:styleId="24">
    <w:name w:val="批注主题 Char"/>
    <w:basedOn w:val="23"/>
    <w:link w:val="11"/>
    <w:qFormat/>
    <w:uiPriority w:val="0"/>
    <w:rPr>
      <w:rFonts w:asciiTheme="minorHAnsi" w:hAnsiTheme="minorHAnsi" w:eastAsiaTheme="minorEastAsia" w:cstheme="minorBidi"/>
      <w:b/>
      <w:bCs/>
      <w:kern w:val="2"/>
      <w:sz w:val="21"/>
      <w:szCs w:val="22"/>
    </w:rPr>
  </w:style>
  <w:style w:type="character" w:customStyle="1" w:styleId="25">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6">
    <w:name w:val="HTML 预设格式 Char"/>
    <w:basedOn w:val="14"/>
    <w:link w:val="10"/>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691</Words>
  <Characters>3940</Characters>
  <Lines>32</Lines>
  <Paragraphs>9</Paragraphs>
  <TotalTime>2</TotalTime>
  <ScaleCrop>false</ScaleCrop>
  <LinksUpToDate>false</LinksUpToDate>
  <CharactersWithSpaces>4622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2024-06-23T14:07:00Z</dcterms:created>
  <dc:creator>LGYY-USER</dc:creator>
  <cp:lastModifiedBy>yy</cp:lastModifiedBy>
  <dcterms:modified xsi:type="dcterms:W3CDTF">2024-06-26T06:49:50Z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