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816DE">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鱼峰山院区DSA室开展碘125粒子植入术项目职业病危害</w:t>
      </w:r>
    </w:p>
    <w:p w14:paraId="0F327837">
      <w:pPr>
        <w:jc w:val="center"/>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评价机构招标需求</w:t>
      </w:r>
    </w:p>
    <w:p w14:paraId="0A6320DA">
      <w:pPr>
        <w:keepNext w:val="0"/>
        <w:keepLines w:val="0"/>
        <w:pageBreakBefore w:val="0"/>
        <w:kinsoku/>
        <w:wordWrap/>
        <w:overflowPunct/>
        <w:topLinePunct w:val="0"/>
        <w:autoSpaceDE/>
        <w:autoSpaceDN/>
        <w:bidi w:val="0"/>
        <w:adjustRightInd/>
        <w:snapToGrid/>
        <w:spacing w:line="400" w:lineRule="exact"/>
        <w:ind w:firstLine="551" w:firstLineChars="196"/>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一、项目名称</w:t>
      </w:r>
    </w:p>
    <w:p w14:paraId="1D787F7D">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鱼峰山院区DSA室开展碘125粒子植入术项目职业病危害评价机构招标。</w:t>
      </w:r>
    </w:p>
    <w:p w14:paraId="534BC94D">
      <w:pPr>
        <w:keepNext w:val="0"/>
        <w:keepLines w:val="0"/>
        <w:pageBreakBefore w:val="0"/>
        <w:kinsoku/>
        <w:wordWrap/>
        <w:overflowPunct/>
        <w:topLinePunct w:val="0"/>
        <w:autoSpaceDE/>
        <w:autoSpaceDN/>
        <w:bidi w:val="0"/>
        <w:adjustRightInd/>
        <w:snapToGrid/>
        <w:spacing w:line="400" w:lineRule="exact"/>
        <w:ind w:firstLine="551"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二、项目概况</w:t>
      </w:r>
    </w:p>
    <w:p w14:paraId="49210752">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人医院肿瘤科拟在鱼峰山院区开展DSA室开展碘125粒子植入术项目职业病危害评价，根据《中华人民共和国职业病防治法》、《建设项目职业病危害放射防护评价报告编制规范》，《放射性同位素与射线装置安全和防护条例》等要求，以上项目需办理</w:t>
      </w:r>
      <w:r>
        <w:rPr>
          <w:rFonts w:hint="eastAsia" w:ascii="仿宋" w:hAnsi="仿宋" w:eastAsia="仿宋" w:cs="仿宋"/>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lang w:val="en-US" w:eastAsia="zh-CN"/>
        </w:rPr>
        <w:t>审批手续。现公开招标采购</w:t>
      </w:r>
      <w:r>
        <w:rPr>
          <w:rFonts w:hint="eastAsia" w:ascii="仿宋" w:hAnsi="仿宋" w:eastAsia="仿宋" w:cs="仿宋"/>
          <w:color w:val="auto"/>
          <w:sz w:val="28"/>
          <w:szCs w:val="28"/>
          <w:highlight w:val="none"/>
          <w:lang w:eastAsia="zh-CN"/>
        </w:rPr>
        <w:t>职业病危害放射防护预评价及控制效果评价</w:t>
      </w:r>
      <w:r>
        <w:rPr>
          <w:rFonts w:hint="eastAsia" w:ascii="仿宋" w:hAnsi="仿宋" w:eastAsia="仿宋" w:cs="仿宋"/>
          <w:b w:val="0"/>
          <w:bCs w:val="0"/>
          <w:color w:val="auto"/>
          <w:sz w:val="28"/>
          <w:szCs w:val="28"/>
          <w:highlight w:val="none"/>
          <w:lang w:val="en-US" w:eastAsia="zh-CN"/>
        </w:rPr>
        <w:t>技术</w:t>
      </w:r>
      <w:r>
        <w:rPr>
          <w:rFonts w:hint="eastAsia" w:ascii="仿宋" w:hAnsi="仿宋" w:eastAsia="仿宋" w:cs="仿宋"/>
          <w:color w:val="auto"/>
          <w:sz w:val="28"/>
          <w:szCs w:val="28"/>
          <w:highlight w:val="none"/>
          <w:lang w:val="en-US" w:eastAsia="zh-CN"/>
        </w:rPr>
        <w:t>服务机构，对我院核医学科新增应用项目进行</w:t>
      </w:r>
      <w:r>
        <w:rPr>
          <w:rFonts w:hint="eastAsia" w:ascii="仿宋" w:hAnsi="仿宋" w:eastAsia="仿宋" w:cs="仿宋"/>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lang w:val="en-US" w:eastAsia="zh-CN"/>
        </w:rPr>
        <w:t>工作，编制《</w:t>
      </w:r>
      <w:r>
        <w:rPr>
          <w:rFonts w:hint="eastAsia" w:ascii="仿宋" w:hAnsi="仿宋" w:eastAsia="仿宋" w:cs="仿宋"/>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lang w:val="en-US" w:eastAsia="zh-CN"/>
        </w:rPr>
        <w:t>报告表》</w:t>
      </w:r>
      <w:r>
        <w:rPr>
          <w:rFonts w:hint="eastAsia" w:ascii="仿宋" w:hAnsi="仿宋" w:eastAsia="仿宋" w:cs="仿宋"/>
          <w:color w:val="auto"/>
          <w:sz w:val="28"/>
          <w:szCs w:val="28"/>
          <w:highlight w:val="none"/>
        </w:rPr>
        <w:t>。</w:t>
      </w:r>
    </w:p>
    <w:p w14:paraId="5554F0CB">
      <w:pPr>
        <w:keepNext w:val="0"/>
        <w:keepLines w:val="0"/>
        <w:pageBreakBefore w:val="0"/>
        <w:kinsoku/>
        <w:wordWrap/>
        <w:overflowPunct/>
        <w:topLinePunct w:val="0"/>
        <w:autoSpaceDE/>
        <w:autoSpaceDN/>
        <w:bidi w:val="0"/>
        <w:adjustRightInd/>
        <w:snapToGrid/>
        <w:spacing w:line="400" w:lineRule="exact"/>
        <w:ind w:firstLine="551"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三、投标人/供应商资格条件</w:t>
      </w:r>
    </w:p>
    <w:p w14:paraId="78A15F35">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1、投标人需为国内注册（指按国家有关规定要求注册的）生产或经营本次招标采购服务、具备法人资格的供应商。</w:t>
      </w:r>
    </w:p>
    <w:p w14:paraId="790038EC">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2、投标人三年内在经营活动中没有重大违法记录和不良信用记录。</w:t>
      </w:r>
    </w:p>
    <w:p w14:paraId="76932A93">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3、投标人有效的“营业执照”副本复印件。</w:t>
      </w:r>
    </w:p>
    <w:p w14:paraId="0A56D510">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4、投标人有效的“税务登记证”副本复印件。</w:t>
      </w:r>
    </w:p>
    <w:p w14:paraId="452A9859">
      <w:pPr>
        <w:keepNext w:val="0"/>
        <w:keepLines w:val="0"/>
        <w:pageBreakBefore w:val="0"/>
        <w:kinsoku/>
        <w:wordWrap/>
        <w:overflowPunct/>
        <w:topLinePunct w:val="0"/>
        <w:autoSpaceDE/>
        <w:autoSpaceDN/>
        <w:bidi w:val="0"/>
        <w:adjustRightInd/>
        <w:snapToGrid/>
        <w:spacing w:line="400" w:lineRule="exact"/>
        <w:ind w:firstLine="551"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四、项目内容</w:t>
      </w:r>
    </w:p>
    <w:p w14:paraId="30433E98">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w:t>
      </w:r>
      <w:r>
        <w:rPr>
          <w:rFonts w:hint="eastAsia" w:ascii="仿宋" w:hAnsi="仿宋" w:eastAsia="仿宋" w:cs="仿宋"/>
          <w:color w:val="auto"/>
          <w:sz w:val="28"/>
          <w:szCs w:val="28"/>
          <w:highlight w:val="none"/>
          <w:lang w:eastAsia="zh-CN"/>
        </w:rPr>
        <w:t>主要</w:t>
      </w:r>
      <w:r>
        <w:rPr>
          <w:rFonts w:hint="eastAsia" w:ascii="仿宋" w:hAnsi="仿宋" w:eastAsia="仿宋" w:cs="仿宋"/>
          <w:color w:val="auto"/>
          <w:sz w:val="28"/>
          <w:szCs w:val="28"/>
          <w:highlight w:val="none"/>
        </w:rPr>
        <w:t>内容：</w:t>
      </w:r>
    </w:p>
    <w:tbl>
      <w:tblPr>
        <w:tblStyle w:val="7"/>
        <w:tblW w:w="91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6841"/>
        <w:gridCol w:w="1221"/>
      </w:tblGrid>
      <w:tr w14:paraId="286B2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61" w:type="dxa"/>
            <w:vAlign w:val="center"/>
          </w:tcPr>
          <w:p w14:paraId="425CC0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6841" w:type="dxa"/>
            <w:vAlign w:val="center"/>
          </w:tcPr>
          <w:p w14:paraId="1A49FD0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职业病危害放射防护预评价及控制效果评价</w:t>
            </w:r>
            <w:r>
              <w:rPr>
                <w:rFonts w:hint="eastAsia" w:ascii="仿宋" w:hAnsi="仿宋" w:eastAsia="仿宋" w:cs="仿宋"/>
                <w:color w:val="auto"/>
                <w:sz w:val="28"/>
                <w:szCs w:val="28"/>
                <w:highlight w:val="none"/>
              </w:rPr>
              <w:t>项目</w:t>
            </w:r>
          </w:p>
        </w:tc>
        <w:tc>
          <w:tcPr>
            <w:tcW w:w="1221" w:type="dxa"/>
            <w:vAlign w:val="center"/>
          </w:tcPr>
          <w:p w14:paraId="3BB04B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675B2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061" w:type="dxa"/>
            <w:vAlign w:val="center"/>
          </w:tcPr>
          <w:p w14:paraId="1A84A9F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6841" w:type="dxa"/>
            <w:vAlign w:val="center"/>
          </w:tcPr>
          <w:p w14:paraId="55A7B9E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lang w:val="en-US" w:eastAsia="zh-CN"/>
              </w:rPr>
              <w:t>报告表》</w:t>
            </w:r>
          </w:p>
        </w:tc>
        <w:tc>
          <w:tcPr>
            <w:tcW w:w="1221" w:type="dxa"/>
            <w:vAlign w:val="center"/>
          </w:tcPr>
          <w:p w14:paraId="54699C4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p>
        </w:tc>
      </w:tr>
    </w:tbl>
    <w:p w14:paraId="36F16F71">
      <w:pPr>
        <w:keepNext w:val="0"/>
        <w:keepLines w:val="0"/>
        <w:pageBreakBefore w:val="0"/>
        <w:kinsoku/>
        <w:wordWrap/>
        <w:overflowPunct/>
        <w:topLinePunct w:val="0"/>
        <w:autoSpaceDE/>
        <w:autoSpaceDN/>
        <w:bidi w:val="0"/>
        <w:adjustRightInd/>
        <w:snapToGrid/>
        <w:spacing w:line="400" w:lineRule="exact"/>
        <w:ind w:firstLine="703" w:firstLineChars="25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五、报价要求</w:t>
      </w:r>
    </w:p>
    <w:p w14:paraId="499E2ED5">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1、报价含服务费、人工费、材料费、管理费、保险、利润、税金等为完成本项目所需的所有费用，在实施期间不因市场因素而变动。</w:t>
      </w:r>
    </w:p>
    <w:p w14:paraId="5FCED00A">
      <w:pPr>
        <w:keepNext w:val="0"/>
        <w:keepLines w:val="0"/>
        <w:pageBreakBefore w:val="0"/>
        <w:kinsoku/>
        <w:wordWrap/>
        <w:overflowPunct/>
        <w:topLinePunct w:val="0"/>
        <w:autoSpaceDE/>
        <w:autoSpaceDN/>
        <w:bidi w:val="0"/>
        <w:adjustRightInd/>
        <w:snapToGrid/>
        <w:spacing w:line="400" w:lineRule="exact"/>
        <w:ind w:firstLine="561"/>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2、报价人需按采购内容要求填写应标服务内容等。</w:t>
      </w:r>
    </w:p>
    <w:p w14:paraId="7E436A8A">
      <w:pPr>
        <w:keepNext w:val="0"/>
        <w:keepLines w:val="0"/>
        <w:pageBreakBefore w:val="0"/>
        <w:kinsoku/>
        <w:wordWrap/>
        <w:overflowPunct/>
        <w:topLinePunct w:val="0"/>
        <w:autoSpaceDE/>
        <w:autoSpaceDN/>
        <w:bidi w:val="0"/>
        <w:adjustRightInd/>
        <w:snapToGrid/>
        <w:spacing w:line="400" w:lineRule="exact"/>
        <w:ind w:firstLine="561"/>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3、为保证项目进度和质量，投标人应根据实际情况制定完整的方案、人员配置及服务保障方法和措施等。</w:t>
      </w:r>
    </w:p>
    <w:p w14:paraId="570825FD">
      <w:pPr>
        <w:keepNext w:val="0"/>
        <w:keepLines w:val="0"/>
        <w:pageBreakBefore w:val="0"/>
        <w:kinsoku/>
        <w:wordWrap/>
        <w:overflowPunct/>
        <w:topLinePunct w:val="0"/>
        <w:autoSpaceDE/>
        <w:autoSpaceDN/>
        <w:bidi w:val="0"/>
        <w:adjustRightInd/>
        <w:snapToGrid/>
        <w:spacing w:line="400" w:lineRule="exact"/>
        <w:ind w:firstLine="551" w:firstLineChars="196"/>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六、其他要求</w:t>
      </w:r>
    </w:p>
    <w:p w14:paraId="11177132">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1、提供服务时如出现未按要求完成审核内容或与招投标文件不符的情况，供应商应无条件给予更正。</w:t>
      </w:r>
    </w:p>
    <w:p w14:paraId="632A6409">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2、供应商确保所供应服务符合国家相关技术部门规定技术要求。</w:t>
      </w:r>
    </w:p>
    <w:p w14:paraId="386E3454">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3、供应商安排的项目承接人员必须为</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lang w:val="en-US" w:eastAsia="zh-CN"/>
        </w:rPr>
        <w:t>专业人员</w:t>
      </w:r>
      <w:r>
        <w:rPr>
          <w:rFonts w:hint="eastAsia" w:ascii="仿宋" w:hAnsi="仿宋" w:eastAsia="仿宋" w:cs="仿宋"/>
          <w:color w:val="auto"/>
          <w:sz w:val="28"/>
          <w:szCs w:val="28"/>
          <w:highlight w:val="none"/>
        </w:rPr>
        <w:t>。</w:t>
      </w:r>
    </w:p>
    <w:p w14:paraId="72BB08C2">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4、供应商从接到</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项目完整的预算资料之日起5个工作日内出具</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意见，审核结果经双方认可后3天内出具正式的</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报告。</w:t>
      </w:r>
    </w:p>
    <w:p w14:paraId="2F340E54">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bCs/>
          <w:color w:val="auto"/>
          <w:kern w:val="0"/>
          <w:sz w:val="28"/>
          <w:szCs w:val="28"/>
          <w:highlight w:val="none"/>
          <w:lang w:eastAsia="zh-CN"/>
        </w:rPr>
      </w:pPr>
      <w:r>
        <w:rPr>
          <w:rFonts w:hint="eastAsia" w:ascii="仿宋" w:hAnsi="仿宋" w:eastAsia="仿宋" w:cs="仿宋"/>
          <w:color w:val="auto"/>
          <w:sz w:val="28"/>
          <w:szCs w:val="28"/>
          <w:highlight w:val="none"/>
        </w:rPr>
        <w:t>5、供应商从接到工程项目完整的</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资料之日起15个工作日内出具初步审核意见，审核结果经双方认可后3天内出具正式的</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报告。</w:t>
      </w:r>
    </w:p>
    <w:p w14:paraId="552B824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rightChars="0" w:firstLine="560" w:firstLineChars="200"/>
        <w:jc w:val="both"/>
        <w:textAlignment w:val="auto"/>
        <w:outlineLvl w:val="9"/>
        <w:rPr>
          <w:rFonts w:hint="eastAsia" w:ascii="仿宋" w:hAnsi="仿宋" w:eastAsia="仿宋" w:cs="仿宋"/>
          <w:b w:val="0"/>
          <w:i w:val="0"/>
          <w:color w:val="auto"/>
          <w:kern w:val="0"/>
          <w:sz w:val="28"/>
          <w:szCs w:val="28"/>
          <w:highlight w:val="none"/>
          <w:lang w:val="en-US" w:eastAsia="zh-CN" w:bidi="ar"/>
        </w:rPr>
      </w:pPr>
      <w:r>
        <w:rPr>
          <w:rFonts w:hint="eastAsia" w:ascii="仿宋" w:hAnsi="仿宋" w:eastAsia="仿宋" w:cs="仿宋"/>
          <w:b w:val="0"/>
          <w:i w:val="0"/>
          <w:color w:val="auto"/>
          <w:kern w:val="0"/>
          <w:sz w:val="28"/>
          <w:szCs w:val="28"/>
          <w:highlight w:val="none"/>
          <w:lang w:val="en-US" w:eastAsia="zh-CN" w:bidi="ar"/>
        </w:rPr>
        <w:t>6、</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资质要求</w:t>
      </w:r>
      <w:r>
        <w:rPr>
          <w:rFonts w:hint="eastAsia" w:ascii="仿宋" w:hAnsi="仿宋" w:eastAsia="仿宋" w:cs="仿宋"/>
          <w:b w:val="0"/>
          <w:i w:val="0"/>
          <w:color w:val="auto"/>
          <w:kern w:val="0"/>
          <w:sz w:val="28"/>
          <w:szCs w:val="28"/>
          <w:highlight w:val="none"/>
          <w:lang w:val="en-US" w:eastAsia="zh-CN" w:bidi="ar"/>
        </w:rPr>
        <w:t>省级或省级以上卫生行政主管部门颁发的、在有效期内的放射卫生技术服务机构资质证书及副本{技术服务范围含放射诊疗建设项目职业病危害放射防护评价(乙级及以上)}。</w:t>
      </w:r>
    </w:p>
    <w:p w14:paraId="3B4D8CB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i w:val="0"/>
          <w:color w:val="auto"/>
          <w:kern w:val="0"/>
          <w:sz w:val="28"/>
          <w:szCs w:val="28"/>
          <w:highlight w:val="none"/>
          <w:lang w:val="en-US" w:eastAsia="zh-CN" w:bidi="ar"/>
        </w:rPr>
        <w:t>7、提供检验检测机构资质认定证书及附表</w:t>
      </w:r>
      <w:r>
        <w:rPr>
          <w:rFonts w:hint="eastAsia" w:ascii="仿宋" w:hAnsi="仿宋" w:eastAsia="仿宋" w:cs="仿宋"/>
          <w:color w:val="auto"/>
          <w:sz w:val="28"/>
          <w:szCs w:val="28"/>
          <w:highlight w:val="none"/>
        </w:rPr>
        <w:t>。</w:t>
      </w:r>
    </w:p>
    <w:p w14:paraId="1308FBE8">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、结算方式</w:t>
      </w:r>
    </w:p>
    <w:p w14:paraId="2314FF54">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1、本项目为一次性采购服务项目。</w:t>
      </w:r>
    </w:p>
    <w:p w14:paraId="2CCC0A22">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 xml:space="preserve">报价为总价包干报价形式。 </w:t>
      </w:r>
    </w:p>
    <w:p w14:paraId="486D8C97">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color w:val="0070C0"/>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color w:val="auto"/>
          <w:sz w:val="28"/>
          <w:szCs w:val="28"/>
          <w:highlight w:val="none"/>
          <w:lang w:val="en-US" w:eastAsia="zh-CN"/>
        </w:rPr>
        <w:t>结算方式：</w:t>
      </w:r>
      <w:r>
        <w:rPr>
          <w:rFonts w:hint="eastAsia" w:ascii="仿宋" w:hAnsi="仿宋" w:eastAsia="仿宋" w:cs="仿宋"/>
          <w:color w:val="0070C0"/>
          <w:sz w:val="28"/>
          <w:szCs w:val="28"/>
          <w:highlight w:val="none"/>
          <w:lang w:val="en-US" w:eastAsia="zh-CN"/>
        </w:rPr>
        <w:t>1、完成预评，取得《建设项目设计卫生审查认可书》后，开具正规的税务发票后90个自然日内支付50%预付款；2、完成控评现场竣工验收，取得省级卫生行政部门建设项目竣工卫生验收认可书，开具正规的税务发票后90个自然日内付清该项目剩余50%款项。</w:t>
      </w:r>
    </w:p>
    <w:p w14:paraId="40C66FE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bookmarkStart w:id="0" w:name="_GoBack"/>
      <w:bookmarkEnd w:id="0"/>
    </w:p>
    <w:p w14:paraId="6304C36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val="en-US" w:eastAsia="zh-CN"/>
        </w:rPr>
      </w:pPr>
    </w:p>
    <w:p w14:paraId="3F64992A">
      <w:pPr>
        <w:keepNext w:val="0"/>
        <w:keepLines w:val="0"/>
        <w:pageBreakBefore w:val="0"/>
        <w:kinsoku/>
        <w:wordWrap/>
        <w:overflowPunct/>
        <w:topLinePunct w:val="0"/>
        <w:autoSpaceDE/>
        <w:autoSpaceDN/>
        <w:bidi w:val="0"/>
        <w:adjustRightInd/>
        <w:snapToGrid/>
        <w:spacing w:line="400" w:lineRule="exact"/>
        <w:ind w:firstLine="6720" w:firstLineChars="2400"/>
        <w:textAlignment w:val="auto"/>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5EAE6B75">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sz w:val="28"/>
          <w:szCs w:val="28"/>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p>
    <w:p w14:paraId="6C84FBEB">
      <w:pPr>
        <w:spacing w:line="480" w:lineRule="exact"/>
        <w:ind w:firstLine="5600" w:firstLineChars="2000"/>
        <w:rPr>
          <w:rFonts w:hint="eastAsia" w:ascii="仿宋" w:hAnsi="仿宋" w:eastAsia="仿宋" w:cs="仿宋"/>
          <w:color w:val="auto"/>
          <w:sz w:val="28"/>
          <w:szCs w:val="28"/>
          <w:highlight w:val="none"/>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030B34"/>
    <w:rsid w:val="000B61D6"/>
    <w:rsid w:val="00116362"/>
    <w:rsid w:val="00127195"/>
    <w:rsid w:val="001354FF"/>
    <w:rsid w:val="00200D2E"/>
    <w:rsid w:val="00296E16"/>
    <w:rsid w:val="00393B89"/>
    <w:rsid w:val="0039684F"/>
    <w:rsid w:val="00440583"/>
    <w:rsid w:val="00455A4B"/>
    <w:rsid w:val="004A6BD9"/>
    <w:rsid w:val="00507A83"/>
    <w:rsid w:val="00551DD1"/>
    <w:rsid w:val="00583174"/>
    <w:rsid w:val="00595293"/>
    <w:rsid w:val="005F79E0"/>
    <w:rsid w:val="006578B1"/>
    <w:rsid w:val="006E299C"/>
    <w:rsid w:val="0073138D"/>
    <w:rsid w:val="00745135"/>
    <w:rsid w:val="00834AB8"/>
    <w:rsid w:val="00884369"/>
    <w:rsid w:val="008C08C2"/>
    <w:rsid w:val="008D6C14"/>
    <w:rsid w:val="0096145E"/>
    <w:rsid w:val="009E376F"/>
    <w:rsid w:val="00A011C8"/>
    <w:rsid w:val="00A41D90"/>
    <w:rsid w:val="00AF3B5B"/>
    <w:rsid w:val="00B048A5"/>
    <w:rsid w:val="00B1489F"/>
    <w:rsid w:val="00B84225"/>
    <w:rsid w:val="00BB3C4A"/>
    <w:rsid w:val="00C91539"/>
    <w:rsid w:val="00DB0A26"/>
    <w:rsid w:val="00DC22AD"/>
    <w:rsid w:val="00DC2F17"/>
    <w:rsid w:val="00DC466F"/>
    <w:rsid w:val="00EA70A7"/>
    <w:rsid w:val="00EC4612"/>
    <w:rsid w:val="00F13EE3"/>
    <w:rsid w:val="00F47AC3"/>
    <w:rsid w:val="010951A7"/>
    <w:rsid w:val="029006F1"/>
    <w:rsid w:val="03435C52"/>
    <w:rsid w:val="041744FB"/>
    <w:rsid w:val="042621F8"/>
    <w:rsid w:val="047E1FB9"/>
    <w:rsid w:val="04CC2DAD"/>
    <w:rsid w:val="05B0028B"/>
    <w:rsid w:val="05C74289"/>
    <w:rsid w:val="061E3F1F"/>
    <w:rsid w:val="06D663A6"/>
    <w:rsid w:val="07664AA9"/>
    <w:rsid w:val="08A21447"/>
    <w:rsid w:val="0AD409A0"/>
    <w:rsid w:val="0C29450A"/>
    <w:rsid w:val="0CA75DE2"/>
    <w:rsid w:val="0D052F8B"/>
    <w:rsid w:val="0DEC388F"/>
    <w:rsid w:val="0DFB3956"/>
    <w:rsid w:val="0E1F0604"/>
    <w:rsid w:val="10ED1173"/>
    <w:rsid w:val="113B0427"/>
    <w:rsid w:val="11424D1C"/>
    <w:rsid w:val="11634099"/>
    <w:rsid w:val="11F86147"/>
    <w:rsid w:val="128571E5"/>
    <w:rsid w:val="139F4F81"/>
    <w:rsid w:val="14340307"/>
    <w:rsid w:val="158A71B2"/>
    <w:rsid w:val="16210154"/>
    <w:rsid w:val="162D644C"/>
    <w:rsid w:val="16A805D8"/>
    <w:rsid w:val="171C1FFC"/>
    <w:rsid w:val="17AA5816"/>
    <w:rsid w:val="17CB6A54"/>
    <w:rsid w:val="17F07302"/>
    <w:rsid w:val="18D36BA2"/>
    <w:rsid w:val="19AB7B33"/>
    <w:rsid w:val="1B767977"/>
    <w:rsid w:val="1BF92EC4"/>
    <w:rsid w:val="1C52663A"/>
    <w:rsid w:val="1CBE4E69"/>
    <w:rsid w:val="1E1D2544"/>
    <w:rsid w:val="1F7B2D1C"/>
    <w:rsid w:val="1FBD62B1"/>
    <w:rsid w:val="20B16B03"/>
    <w:rsid w:val="219B01F8"/>
    <w:rsid w:val="21A07DC1"/>
    <w:rsid w:val="22330B04"/>
    <w:rsid w:val="22E362D2"/>
    <w:rsid w:val="26D52249"/>
    <w:rsid w:val="28865645"/>
    <w:rsid w:val="2BF928F3"/>
    <w:rsid w:val="2C022C0C"/>
    <w:rsid w:val="2C2F7266"/>
    <w:rsid w:val="2CB404AC"/>
    <w:rsid w:val="2CDF3794"/>
    <w:rsid w:val="2E852EAB"/>
    <w:rsid w:val="2FC63D74"/>
    <w:rsid w:val="30D0413E"/>
    <w:rsid w:val="31040C94"/>
    <w:rsid w:val="31F22A68"/>
    <w:rsid w:val="34272BB6"/>
    <w:rsid w:val="34D91454"/>
    <w:rsid w:val="34FF5C1F"/>
    <w:rsid w:val="356F7602"/>
    <w:rsid w:val="35AC53AF"/>
    <w:rsid w:val="36692286"/>
    <w:rsid w:val="378E2D18"/>
    <w:rsid w:val="389F6A4E"/>
    <w:rsid w:val="3AA96FAE"/>
    <w:rsid w:val="3BCF287D"/>
    <w:rsid w:val="3C5F1FC7"/>
    <w:rsid w:val="3E2C4BB7"/>
    <w:rsid w:val="3F664045"/>
    <w:rsid w:val="40012417"/>
    <w:rsid w:val="40D46D12"/>
    <w:rsid w:val="4105707C"/>
    <w:rsid w:val="4172433C"/>
    <w:rsid w:val="417D3E89"/>
    <w:rsid w:val="419A0FA7"/>
    <w:rsid w:val="421C47E7"/>
    <w:rsid w:val="42B208A8"/>
    <w:rsid w:val="4500071D"/>
    <w:rsid w:val="45960004"/>
    <w:rsid w:val="46F86693"/>
    <w:rsid w:val="470B7917"/>
    <w:rsid w:val="47A37881"/>
    <w:rsid w:val="47F24951"/>
    <w:rsid w:val="481E5360"/>
    <w:rsid w:val="485C4F2C"/>
    <w:rsid w:val="489B4B75"/>
    <w:rsid w:val="49634BF7"/>
    <w:rsid w:val="4A1F5604"/>
    <w:rsid w:val="4A6B76DF"/>
    <w:rsid w:val="4D1B00DF"/>
    <w:rsid w:val="4F0E7BDB"/>
    <w:rsid w:val="4FF57096"/>
    <w:rsid w:val="50E85F0B"/>
    <w:rsid w:val="5124386B"/>
    <w:rsid w:val="528B680B"/>
    <w:rsid w:val="52F3051F"/>
    <w:rsid w:val="53C91D89"/>
    <w:rsid w:val="54F21A55"/>
    <w:rsid w:val="55617B80"/>
    <w:rsid w:val="56173FB4"/>
    <w:rsid w:val="561D501A"/>
    <w:rsid w:val="56515FE9"/>
    <w:rsid w:val="5A2F4DC6"/>
    <w:rsid w:val="5A447D2A"/>
    <w:rsid w:val="5A85646B"/>
    <w:rsid w:val="5B3F6E48"/>
    <w:rsid w:val="5CB3223D"/>
    <w:rsid w:val="5CEF488A"/>
    <w:rsid w:val="5E40418F"/>
    <w:rsid w:val="5E623CF1"/>
    <w:rsid w:val="5F442227"/>
    <w:rsid w:val="5F672D7E"/>
    <w:rsid w:val="607F7AD3"/>
    <w:rsid w:val="61850EA8"/>
    <w:rsid w:val="623A7395"/>
    <w:rsid w:val="627438C2"/>
    <w:rsid w:val="63814B5D"/>
    <w:rsid w:val="658805A7"/>
    <w:rsid w:val="680C7FB1"/>
    <w:rsid w:val="69403AAE"/>
    <w:rsid w:val="6A9B7D71"/>
    <w:rsid w:val="6AAE5152"/>
    <w:rsid w:val="6AE954B5"/>
    <w:rsid w:val="6BA044C1"/>
    <w:rsid w:val="6C775AF2"/>
    <w:rsid w:val="6E5E469C"/>
    <w:rsid w:val="6F0453DE"/>
    <w:rsid w:val="6F250725"/>
    <w:rsid w:val="6F395FEB"/>
    <w:rsid w:val="6F9D3FCF"/>
    <w:rsid w:val="702F5003"/>
    <w:rsid w:val="717766ED"/>
    <w:rsid w:val="72625B8C"/>
    <w:rsid w:val="73BB4BC8"/>
    <w:rsid w:val="74607426"/>
    <w:rsid w:val="74C13C0D"/>
    <w:rsid w:val="76C91732"/>
    <w:rsid w:val="77146DD6"/>
    <w:rsid w:val="77DD02F3"/>
    <w:rsid w:val="77DE6B58"/>
    <w:rsid w:val="79562EED"/>
    <w:rsid w:val="7AC124B5"/>
    <w:rsid w:val="7AF9322A"/>
    <w:rsid w:val="7B161079"/>
    <w:rsid w:val="7B6660C0"/>
    <w:rsid w:val="7B741D7E"/>
    <w:rsid w:val="7CAF0D43"/>
    <w:rsid w:val="7CC12FE9"/>
    <w:rsid w:val="7CED43DB"/>
    <w:rsid w:val="7D0A0C4E"/>
    <w:rsid w:val="7DBC3A33"/>
    <w:rsid w:val="7DFD69D9"/>
    <w:rsid w:val="7E683C3A"/>
    <w:rsid w:val="7E6C177D"/>
    <w:rsid w:val="7F341EF2"/>
    <w:rsid w:val="7FE6601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8"/>
    <w:basedOn w:val="1"/>
    <w:next w:val="1"/>
    <w:autoRedefine/>
    <w:qFormat/>
    <w:uiPriority w:val="99"/>
    <w:pPr>
      <w:jc w:val="left"/>
    </w:pPr>
    <w:rPr>
      <w:rFonts w:ascii="Times New Roman" w:hAnsi="Times New Roman"/>
    </w:rPr>
  </w:style>
  <w:style w:type="paragraph" w:styleId="3">
    <w:name w:val="annotation text"/>
    <w:basedOn w:val="1"/>
    <w:link w:val="12"/>
    <w:autoRedefine/>
    <w:qFormat/>
    <w:uiPriority w:val="99"/>
    <w:pPr>
      <w:jc w:val="left"/>
    </w:pPr>
  </w:style>
  <w:style w:type="paragraph" w:styleId="4">
    <w:name w:val="Body Text"/>
    <w:basedOn w:val="1"/>
    <w:next w:val="1"/>
    <w:link w:val="11"/>
    <w:autoRedefine/>
    <w:qFormat/>
    <w:uiPriority w:val="99"/>
    <w:pPr>
      <w:spacing w:line="380" w:lineRule="exact"/>
    </w:pPr>
    <w:rPr>
      <w:rFonts w:ascii="Times New Roman" w:hAnsi="Times New Roman"/>
      <w:sz w:val="24"/>
      <w:szCs w:val="24"/>
    </w:rPr>
  </w:style>
  <w:style w:type="paragraph" w:styleId="5">
    <w:name w:val="footer"/>
    <w:basedOn w:val="1"/>
    <w:link w:val="13"/>
    <w:autoRedefine/>
    <w:qFormat/>
    <w:uiPriority w:val="99"/>
    <w:pPr>
      <w:tabs>
        <w:tab w:val="center" w:pos="4153"/>
        <w:tab w:val="right" w:pos="8306"/>
      </w:tabs>
      <w:snapToGrid w:val="0"/>
      <w:jc w:val="left"/>
    </w:pPr>
    <w:rPr>
      <w:sz w:val="18"/>
    </w:rPr>
  </w:style>
  <w:style w:type="paragraph" w:styleId="6">
    <w:name w:val="header"/>
    <w:basedOn w:val="1"/>
    <w:link w:val="1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文本首行缩进1"/>
    <w:basedOn w:val="4"/>
    <w:autoRedefine/>
    <w:qFormat/>
    <w:uiPriority w:val="0"/>
    <w:pPr>
      <w:ind w:firstLine="100" w:firstLineChars="100"/>
    </w:pPr>
  </w:style>
  <w:style w:type="character" w:customStyle="1" w:styleId="11">
    <w:name w:val="正文文本 Char"/>
    <w:basedOn w:val="9"/>
    <w:link w:val="4"/>
    <w:autoRedefine/>
    <w:semiHidden/>
    <w:qFormat/>
    <w:uiPriority w:val="99"/>
    <w:rPr>
      <w:rFonts w:ascii="宋体" w:hAnsi="Courier New"/>
    </w:rPr>
  </w:style>
  <w:style w:type="character" w:customStyle="1" w:styleId="12">
    <w:name w:val="批注文字 Char"/>
    <w:basedOn w:val="9"/>
    <w:link w:val="3"/>
    <w:autoRedefine/>
    <w:semiHidden/>
    <w:qFormat/>
    <w:uiPriority w:val="99"/>
    <w:rPr>
      <w:rFonts w:ascii="宋体" w:hAnsi="Courier New"/>
    </w:rPr>
  </w:style>
  <w:style w:type="character" w:customStyle="1" w:styleId="13">
    <w:name w:val="页脚 Char"/>
    <w:basedOn w:val="9"/>
    <w:link w:val="5"/>
    <w:autoRedefine/>
    <w:semiHidden/>
    <w:qFormat/>
    <w:uiPriority w:val="99"/>
    <w:rPr>
      <w:rFonts w:ascii="宋体" w:hAnsi="Courier New"/>
      <w:sz w:val="18"/>
      <w:szCs w:val="18"/>
    </w:rPr>
  </w:style>
  <w:style w:type="character" w:customStyle="1" w:styleId="14">
    <w:name w:val="页眉 Char"/>
    <w:basedOn w:val="9"/>
    <w:link w:val="6"/>
    <w:autoRedefine/>
    <w:semiHidden/>
    <w:qFormat/>
    <w:uiPriority w:val="99"/>
    <w:rPr>
      <w:rFonts w:ascii="宋体" w:hAnsi="Courier New"/>
      <w:sz w:val="18"/>
      <w:szCs w:val="18"/>
    </w:rPr>
  </w:style>
  <w:style w:type="paragraph" w:customStyle="1" w:styleId="15">
    <w:name w:val="Char Char Char Char Char Char1 Char"/>
    <w:basedOn w:val="1"/>
    <w:autoRedefine/>
    <w:qFormat/>
    <w:uiPriority w:val="99"/>
    <w:rPr>
      <w:sz w:val="24"/>
      <w:szCs w:val="24"/>
    </w:rPr>
  </w:style>
  <w:style w:type="character" w:customStyle="1" w:styleId="16">
    <w:name w:val="font21"/>
    <w:basedOn w:val="9"/>
    <w:autoRedefine/>
    <w:qFormat/>
    <w:uiPriority w:val="99"/>
    <w:rPr>
      <w:rFonts w:ascii="宋体" w:hAnsi="宋体" w:eastAsia="宋体" w:cs="宋体"/>
      <w:color w:val="000000"/>
      <w:sz w:val="24"/>
      <w:szCs w:val="24"/>
      <w:u w:val="none"/>
    </w:rPr>
  </w:style>
  <w:style w:type="character" w:customStyle="1" w:styleId="17">
    <w:name w:val="font31"/>
    <w:basedOn w:val="9"/>
    <w:autoRedefine/>
    <w:qFormat/>
    <w:uiPriority w:val="99"/>
    <w:rPr>
      <w:rFonts w:ascii="Times New Roman" w:hAnsi="Times New Roman" w:cs="Times New Roman"/>
      <w:color w:val="000000"/>
      <w:sz w:val="22"/>
      <w:szCs w:val="22"/>
      <w:u w:val="none"/>
    </w:rPr>
  </w:style>
  <w:style w:type="character" w:customStyle="1" w:styleId="18">
    <w:name w:val="font41"/>
    <w:basedOn w:val="9"/>
    <w:autoRedefine/>
    <w:qFormat/>
    <w:uiPriority w:val="99"/>
    <w:rPr>
      <w:rFonts w:ascii="宋体" w:hAnsi="宋体" w:eastAsia="宋体" w:cs="宋体"/>
      <w:color w:val="000000"/>
      <w:sz w:val="22"/>
      <w:szCs w:val="22"/>
      <w:u w:val="none"/>
    </w:rPr>
  </w:style>
  <w:style w:type="paragraph" w:customStyle="1" w:styleId="19">
    <w:name w:val="正文2"/>
    <w:basedOn w:val="1"/>
    <w:autoRedefine/>
    <w:qFormat/>
    <w:uiPriority w:val="99"/>
    <w:pPr>
      <w:spacing w:before="156" w:line="360" w:lineRule="auto"/>
      <w:ind w:firstLine="510" w:firstLineChars="200"/>
    </w:pPr>
    <w:rPr>
      <w:sz w:val="24"/>
    </w:rPr>
  </w:style>
  <w:style w:type="character" w:customStyle="1" w:styleId="20">
    <w:name w:val="font11"/>
    <w:basedOn w:val="9"/>
    <w:autoRedefine/>
    <w:qFormat/>
    <w:uiPriority w:val="99"/>
    <w:rPr>
      <w:rFonts w:ascii="宋体" w:hAnsi="宋体" w:eastAsia="宋体" w:cs="宋体"/>
      <w:color w:val="000000"/>
      <w:sz w:val="22"/>
      <w:szCs w:val="22"/>
      <w:u w:val="none"/>
    </w:rPr>
  </w:style>
  <w:style w:type="paragraph" w:customStyle="1" w:styleId="21">
    <w:name w:val="List Paragraph1"/>
    <w:basedOn w:val="1"/>
    <w:autoRedefine/>
    <w:qFormat/>
    <w:uiPriority w:val="99"/>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CC3D-E5F1-4A23-9338-AA716B689780}">
  <ds:schemaRefs/>
</ds:datastoreItem>
</file>

<file path=docProps/app.xml><?xml version="1.0" encoding="utf-8"?>
<Properties xmlns="http://schemas.openxmlformats.org/officeDocument/2006/extended-properties" xmlns:vt="http://schemas.openxmlformats.org/officeDocument/2006/docPropsVTypes">
  <Template>Normal.dotm</Template>
  <Company>柳州市工人医院</Company>
  <Pages>2</Pages>
  <Words>1195</Words>
  <Characters>1214</Characters>
  <Lines>7</Lines>
  <Paragraphs>2</Paragraphs>
  <TotalTime>11</TotalTime>
  <ScaleCrop>false</ScaleCrop>
  <LinksUpToDate>false</LinksUpToDate>
  <CharactersWithSpaces>1262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2024-06-26T07:29:00Z</cp:lastPrinted>
  <dcterms:modified xsi:type="dcterms:W3CDTF">2024-06-28T06:59:32Z</dcterms:modified>
  <dc:title>关于西院门诊住院综合楼大堂采光井电动百叶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0C17D93A967B4C4286D9414B3E95F6A4_13</vt:lpwstr>
  </property>
</Properties>
</file>