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西院采购安装铝合金玻璃缓冲前室</w:t>
      </w:r>
    </w:p>
    <w:p>
      <w:pPr>
        <w:tabs>
          <w:tab w:val="left" w:pos="7275"/>
        </w:tabs>
        <w:spacing w:line="480" w:lineRule="exact"/>
        <w:jc w:val="center"/>
        <w:rPr>
          <w:rFonts w:hint="eastAsia" w:ascii="黑体" w:hAnsi="黑体" w:eastAsia="黑体" w:cs="黑体"/>
          <w:b/>
          <w:sz w:val="36"/>
          <w:szCs w:val="36"/>
          <w:lang w:eastAsia="zh-CN"/>
        </w:rPr>
      </w:pPr>
      <w:r>
        <w:rPr>
          <w:rFonts w:hint="eastAsia" w:ascii="黑体" w:hAnsi="黑体" w:eastAsia="黑体" w:cs="黑体"/>
          <w:b/>
          <w:sz w:val="36"/>
          <w:szCs w:val="36"/>
          <w:lang w:eastAsia="zh-CN"/>
        </w:rPr>
        <w:t>采购需求</w:t>
      </w:r>
    </w:p>
    <w:p>
      <w:pPr>
        <w:pStyle w:val="2"/>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西院采购安装铝合金玻璃缓冲前室</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西院采购安装铝合金玻璃缓冲前室</w:t>
      </w:r>
      <w:r>
        <w:rPr>
          <w:rFonts w:hint="eastAsia" w:hAnsi="宋体" w:eastAsia="宋体" w:cs="宋体"/>
          <w:b w:val="0"/>
          <w:bCs w:val="0"/>
          <w:sz w:val="28"/>
          <w:szCs w:val="28"/>
          <w:lang w:val="en-US" w:eastAsia="zh-CN"/>
        </w:rPr>
        <w:t>，项目位于柳州市工人医院西院院区门诊住院综合楼1楼大厅南面门诊大门内侧、北面住院电梯厅大门外侧，包含项目包含铝合金钢化玻璃采购及安装、钢结构采购及安装、铝合金钢化玻璃地弹门采购及安装、双开地弹簧门玻璃采购与安装以及地弹簧基础加固等</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西院采购安装铝合金玻璃缓冲前室</w:t>
      </w:r>
      <w:r>
        <w:rPr>
          <w:rFonts w:hint="eastAsia" w:hAnsi="宋体" w:eastAsia="宋体" w:cs="宋体"/>
          <w:b w:val="0"/>
          <w:bCs w:val="0"/>
          <w:sz w:val="28"/>
          <w:szCs w:val="28"/>
          <w:lang w:val="en-US" w:eastAsia="zh-CN"/>
        </w:rPr>
        <w:t>项目，主要为南北两侧大门长期大风贯通，冬季北风凌厉，为提升西院就诊舒适度，需要安装铝合金玻璃缓冲前室来保障一楼就诊区不受寒风影响，并同时要求保持通行顺畅，整体风格与已建建筑统一，尤其玻璃及铝合金框架与原窗口保持色调及形态统一。计划在西院院区门诊住院综合楼1楼大厅南面门诊大门内侧、北面住院电梯厅大门外侧各</w:t>
      </w:r>
      <w:r>
        <w:rPr>
          <w:rFonts w:hint="eastAsia" w:ascii="宋体" w:hAnsi="宋体" w:eastAsia="宋体" w:cs="宋体"/>
          <w:b w:val="0"/>
          <w:bCs w:val="0"/>
          <w:sz w:val="28"/>
          <w:szCs w:val="28"/>
          <w:lang w:val="en-US" w:eastAsia="zh-CN"/>
        </w:rPr>
        <w:t>采购安装铝合金玻璃缓冲前室</w:t>
      </w:r>
      <w:r>
        <w:rPr>
          <w:rFonts w:hint="eastAsia" w:hAnsi="宋体" w:eastAsia="宋体" w:cs="宋体"/>
          <w:b w:val="0"/>
          <w:bCs w:val="0"/>
          <w:sz w:val="28"/>
          <w:szCs w:val="28"/>
          <w:lang w:val="en-US" w:eastAsia="zh-CN"/>
        </w:rPr>
        <w:t>一间</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主要项目清单表</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589"/>
        <w:gridCol w:w="866"/>
        <w:gridCol w:w="817"/>
        <w:gridCol w:w="3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color w:val="000000"/>
                <w:kern w:val="0"/>
                <w:sz w:val="22"/>
                <w:szCs w:val="22"/>
                <w:u w:val="none"/>
                <w:lang w:val="en-US" w:eastAsia="zh-CN" w:bidi="ar"/>
              </w:rPr>
              <w:t>1</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定制烤漆镀锌方通</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97.97</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120*60*3mm镀锌方通焊接框架并烤漆含人工、辅材）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color w:val="000000"/>
                <w:kern w:val="0"/>
                <w:sz w:val="22"/>
                <w:szCs w:val="22"/>
                <w:u w:val="none"/>
                <w:lang w:val="en-US" w:eastAsia="zh-CN" w:bidi="ar"/>
              </w:rPr>
              <w:t>2</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乐意中空钢化玻璃</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95</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6+9+6mm双层中空钢化玻璃</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玻璃框架120*60*3mm                 （含人工、辅材）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等线" w:hAnsi="等线" w:eastAsia="等线" w:cs="等线"/>
                <w:i w:val="0"/>
                <w:color w:val="000000"/>
                <w:kern w:val="0"/>
                <w:sz w:val="22"/>
                <w:szCs w:val="22"/>
                <w:u w:val="none"/>
                <w:lang w:val="en-US" w:eastAsia="zh-CN" w:bidi="ar"/>
              </w:rPr>
              <w:t>3</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双开地弹簧门框</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10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个</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120*60*3mm镀锌方通焊接框架并烤漆 （含人工、辅材）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4</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双开地弹簧门玻璃</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24.75</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6+9+6mm双层中空钢化玻璃</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（含人工、辅材）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5</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重型地弹簧及基础加固</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10</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个</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等线" w:hAnsi="等线" w:eastAsia="等线" w:cs="等线"/>
                <w:i w:val="0"/>
                <w:color w:val="000000"/>
                <w:kern w:val="0"/>
                <w:sz w:val="22"/>
                <w:szCs w:val="22"/>
                <w:u w:val="none"/>
                <w:lang w:val="en-US" w:eastAsia="zh-CN" w:bidi="ar"/>
              </w:rPr>
              <w:t>含人工切割开挖并水泥砂浆加固地弹簧基础；（含人工、辅材）</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1.应标方负责项目所有设备材料的采购及安装；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2.要求所有设备材料质量保证期至少3年；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4.应标单位负责项目清单内所有设备材料的运输以及搬运至院方指定安装位置；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.安装过程中确保安全施工，因违规操作而发生安全事故的由</w:t>
      </w:r>
      <w:r>
        <w:rPr>
          <w:rFonts w:hint="eastAsia" w:hAnsi="宋体" w:eastAsia="宋体" w:cs="宋体"/>
          <w:sz w:val="28"/>
          <w:szCs w:val="28"/>
          <w:lang w:val="en-US" w:eastAsia="zh-CN"/>
        </w:rPr>
        <w:t>应标方负责</w:t>
      </w:r>
      <w:r>
        <w:rPr>
          <w:rFonts w:hint="eastAsia" w:hAnsi="宋体" w:cs="宋体"/>
          <w:sz w:val="28"/>
          <w:szCs w:val="28"/>
          <w:lang w:val="en-US" w:eastAsia="zh-CN"/>
        </w:rPr>
        <w:t>完全责任</w:t>
      </w:r>
      <w:r>
        <w:rPr>
          <w:rFonts w:hint="eastAsia" w:ascii="宋体" w:hAnsi="宋体" w:cs="宋体"/>
          <w:kern w:val="2"/>
          <w:sz w:val="28"/>
          <w:szCs w:val="28"/>
          <w:lang w:val="en-US" w:eastAsia="zh-CN" w:bidi="ar-SA"/>
        </w:rPr>
        <w:t>，在搬运和安装过程中不得影响医院业务正常运行；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1.签订合同后，15天内完成货物采购及安装；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2024年5月13日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29006F1"/>
    <w:rsid w:val="03435C52"/>
    <w:rsid w:val="041744FB"/>
    <w:rsid w:val="042621F8"/>
    <w:rsid w:val="04316FD5"/>
    <w:rsid w:val="047E1FB9"/>
    <w:rsid w:val="05B0028B"/>
    <w:rsid w:val="05C74289"/>
    <w:rsid w:val="05CF3057"/>
    <w:rsid w:val="061050F6"/>
    <w:rsid w:val="06D663A6"/>
    <w:rsid w:val="0D052F8B"/>
    <w:rsid w:val="0D2E2451"/>
    <w:rsid w:val="0DB17419"/>
    <w:rsid w:val="0DB7333A"/>
    <w:rsid w:val="0DEC388F"/>
    <w:rsid w:val="0E1F0604"/>
    <w:rsid w:val="0EF20905"/>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ACD240B"/>
    <w:rsid w:val="5CB3223D"/>
    <w:rsid w:val="5E40418F"/>
    <w:rsid w:val="5F442227"/>
    <w:rsid w:val="5F491309"/>
    <w:rsid w:val="623A7395"/>
    <w:rsid w:val="627438C2"/>
    <w:rsid w:val="628574E6"/>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0</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2024-05-13T08:08:32Z</cp:lastPrinted>
  <dcterms:modified xsi:type="dcterms:W3CDTF">2024-05-13T08:08:35Z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