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柳州市工人医院鱼峰山院区门诊新增诊室及一站式服务中心改造工程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柳州市工人医院鱼峰山院区门诊新增诊室及一站式服务中心改造工程。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val="0"/>
          <w:bCs w:val="0"/>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柳州市工人医院鱼峰山院区门诊新增诊室及一站式服务中心改造工程</w:t>
      </w:r>
      <w:r>
        <w:rPr>
          <w:rFonts w:hint="eastAsia" w:hAnsi="宋体" w:eastAsia="宋体" w:cs="宋体"/>
          <w:sz w:val="28"/>
          <w:szCs w:val="28"/>
          <w:lang w:val="en-US" w:eastAsia="zh-CN"/>
        </w:rPr>
        <w:t>项目，项目位于</w:t>
      </w:r>
      <w:r>
        <w:rPr>
          <w:rFonts w:hint="eastAsia" w:ascii="宋体" w:hAnsi="宋体" w:eastAsia="宋体" w:cs="宋体"/>
          <w:b w:val="0"/>
          <w:bCs w:val="0"/>
          <w:sz w:val="28"/>
          <w:szCs w:val="28"/>
          <w:lang w:val="en-US" w:eastAsia="zh-CN"/>
        </w:rPr>
        <w:t>柳州市工人医院</w:t>
      </w:r>
      <w:r>
        <w:rPr>
          <w:rFonts w:hint="eastAsia" w:hAnsi="宋体" w:eastAsia="宋体" w:cs="宋体"/>
          <w:b w:val="0"/>
          <w:bCs w:val="0"/>
          <w:sz w:val="28"/>
          <w:szCs w:val="28"/>
          <w:lang w:val="en-US" w:eastAsia="zh-CN"/>
        </w:rPr>
        <w:t>鱼峰山院区门诊楼一楼中庭，工程主要内容包括拆除内科候诊室自助缴费区隔断，并新增加3间内科诊室，同时在门诊新梯旁搭建两层钢结构用房作为鱼峰山院区门诊一站式服务中心等。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鱼峰山院区门诊新增诊室及一站式服务中心改造工程</w:t>
      </w:r>
      <w:r>
        <w:rPr>
          <w:rFonts w:hint="eastAsia" w:hAnsi="宋体" w:eastAsia="宋体" w:cs="宋体"/>
          <w:b w:val="0"/>
          <w:bCs w:val="0"/>
          <w:sz w:val="28"/>
          <w:szCs w:val="28"/>
          <w:lang w:val="en-US" w:eastAsia="zh-CN"/>
        </w:rPr>
        <w:t>，包含该工程项目的所有专业（拆除、装饰、水电，家具制安等）施工内容，具体施工内容见：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六、合同、工期及报价方式等要求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000000"/>
          <w:sz w:val="28"/>
          <w:szCs w:val="28"/>
          <w:u w:val="single" w:color="000000"/>
        </w:rPr>
      </w:pPr>
      <w:r>
        <w:rPr>
          <w:rFonts w:hint="eastAsia" w:hAnsi="宋体" w:eastAsia="宋体" w:cs="宋体"/>
          <w:sz w:val="28"/>
          <w:szCs w:val="28"/>
          <w:lang w:val="en-US" w:eastAsia="zh-CN"/>
        </w:rPr>
        <w:t>1、投标单位必须提供工程量清单预算报价，项目竣工后按实际完成工程量进行结算。合同价格形式采用单价合同方式。</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单价合同是指合同当事人约定以工程量清单及其综合单价进行合同价格计算、调整和确认的建设工程施工合同,在约定的范围内合同单价不作调整。关于变更估价的约定: 因设计变更、相关签证引起工程项目、工程量任何变化的，变更合同价款按下列方法进行：（1）合同中已有相同清单项目的，按合同该清单项目价格进行计算；（2）合同中只有类似清单项目的，参照该类似清单项目价格进行计算；（3）合同中没有适用或类似清单项目的价格计算方法：有定额的套定额，并乘以下浮系数（下浮系数=中标总价/预算控制总价）计算，其中材料价格按施工期间的《柳州市建设工程造价信息》相应价格信息进行计算；《柳州市建设工程造价信息》信息价没有相应价格信息的按市场价计算；无定额可套的，根据市场价格协商确定综合价格；新增结算综合单价=按定额计算（管理费、利润取中值）的综合单价×下浮系数（下浮系数=中标总价/预算控制总价）。</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2、工程日期：50天内</w:t>
      </w:r>
      <w:r>
        <w:rPr>
          <w:rFonts w:hint="eastAsia" w:hAnsi="宋体" w:eastAsia="宋体" w:cs="宋体"/>
          <w:sz w:val="28"/>
          <w:szCs w:val="28"/>
          <w:lang w:val="en-US" w:eastAsia="zh-CN"/>
        </w:rPr>
        <w:t>，具体开工日期具体开工时间以采购方出具开工令为准。如遇采购方原因或不可抗拒的灾害造成影响，工期顺延。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3、承包内容和方式：按工程项目招标书、施工设计图、中标清单以包工包料的方式承包。</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w:t>
      </w:r>
      <w:r>
        <w:rPr>
          <w:rFonts w:hint="eastAsia" w:ascii="宋体" w:hAnsi="宋体" w:eastAsia="宋体" w:cs="宋体"/>
          <w:kern w:val="2"/>
          <w:sz w:val="28"/>
          <w:szCs w:val="28"/>
          <w:lang w:val="en-US" w:eastAsia="zh-CN" w:bidi="ar-SA"/>
        </w:rPr>
        <w:t>材料约定：本工程由</w:t>
      </w:r>
      <w:r>
        <w:rPr>
          <w:rFonts w:hint="eastAsia" w:hAnsi="宋体" w:eastAsia="宋体" w:cs="宋体"/>
          <w:kern w:val="2"/>
          <w:sz w:val="28"/>
          <w:szCs w:val="28"/>
          <w:lang w:val="en-US" w:eastAsia="zh-CN" w:bidi="ar-SA"/>
        </w:rPr>
        <w:t>供应方</w:t>
      </w:r>
      <w:r>
        <w:rPr>
          <w:rFonts w:hint="eastAsia" w:ascii="宋体" w:hAnsi="宋体" w:eastAsia="宋体" w:cs="宋体"/>
          <w:kern w:val="2"/>
          <w:sz w:val="28"/>
          <w:szCs w:val="28"/>
          <w:lang w:val="en-US" w:eastAsia="zh-CN" w:bidi="ar-SA"/>
        </w:rPr>
        <w:t>负责采购的材料设备，应符合设计要求和</w:t>
      </w:r>
      <w:r>
        <w:rPr>
          <w:rFonts w:hint="eastAsia" w:hAnsi="宋体" w:eastAsia="宋体" w:cs="宋体"/>
          <w:kern w:val="2"/>
          <w:sz w:val="28"/>
          <w:szCs w:val="28"/>
          <w:lang w:val="en-US" w:eastAsia="zh-CN" w:bidi="ar-SA"/>
        </w:rPr>
        <w:t>采购方</w:t>
      </w:r>
      <w:r>
        <w:rPr>
          <w:rFonts w:hint="eastAsia" w:ascii="宋体" w:hAnsi="宋体" w:eastAsia="宋体" w:cs="宋体"/>
          <w:kern w:val="2"/>
          <w:sz w:val="28"/>
          <w:szCs w:val="28"/>
          <w:lang w:val="en-US" w:eastAsia="zh-CN" w:bidi="ar-SA"/>
        </w:rPr>
        <w:t>要求品牌的合格产品，须经</w:t>
      </w:r>
      <w:r>
        <w:rPr>
          <w:rFonts w:hint="eastAsia" w:hAnsi="宋体" w:eastAsia="宋体" w:cs="宋体"/>
          <w:kern w:val="2"/>
          <w:sz w:val="28"/>
          <w:szCs w:val="28"/>
          <w:lang w:val="en-US" w:eastAsia="zh-CN" w:bidi="ar-SA"/>
        </w:rPr>
        <w:t>采购方</w:t>
      </w:r>
      <w:r>
        <w:rPr>
          <w:rFonts w:hint="eastAsia" w:ascii="宋体" w:hAnsi="宋体" w:eastAsia="宋体" w:cs="宋体"/>
          <w:kern w:val="2"/>
          <w:sz w:val="28"/>
          <w:szCs w:val="28"/>
          <w:lang w:val="en-US" w:eastAsia="zh-CN" w:bidi="ar-SA"/>
        </w:rPr>
        <w:t>方认可后才能进货施工。禁止使用不符合质</w:t>
      </w:r>
      <w:r>
        <w:rPr>
          <w:rFonts w:hint="eastAsia" w:hAnsi="宋体" w:eastAsia="宋体" w:cs="宋体"/>
          <w:sz w:val="28"/>
          <w:szCs w:val="28"/>
          <w:lang w:val="en-US" w:eastAsia="zh-CN"/>
        </w:rPr>
        <w:t>量要求及供应方未要求的材料，若已使用，对工程造成的一切损失由供应方负责。</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安全、质量：供应方做好安全教育工作，施工前做好安全防护措施，正确佩戴安全帽、安全绳等防护用品、用具，施工区域做好围挡及警示标识，做到文明施工。工地上若出现安全事故、火灾事故及人员伤亡或材料被盗等情况，由供应方承担全部责任及采购方的所有经济损失，采购方不负任何责任。工程质量达到合格标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6、结算方式：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（1）本项目无预付款</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（2）进度款：签订合同后，工程完工验收达到质量要求，完成合同建设全部内容支付工程进度款至合同总价款的 60%（含已支付的）。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（3）结算：竣工后由供应方向采购方申请组织验收，供应方于验收合格交付使用后30个工作日内交结算书一式二份（基建办、审计科各一份），逾期视为自动放弃结算。</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（4）竣工结算：工程竣工验收报告经采购方认可后30天内，供应方向采购方递交竣工验收合格资料及完整的结算资料，双方按照协议约定的合同价款及约定的合同价调整内容，进行工程结算。</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采购方接到供应方结算书后应15日内予以审核，结算书经采购方审核后，向供应方反馈结果，供应方如有异议，应在3日内与采购方协商解决，逾期不反馈视为认同审核结果处理。结算结果经双方签字认可后，采购方于30日内按结算审定金额扣除已支付工程款及质保金后的余款支付给供应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（6）供应方应如实编制竣工结算书，不得弄虚作假和高估冒算。结算送审金额与审定金额相比，误差超过 5 ％的，由此增加的竣工结算第三方审核费用由承包人承担。增加审核费用＝（送审金额-1.05*审定金额）×8％，由发包人从承包人的结算款中扣除。</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（7）若需第三方审计介入，第三方审计服务酬金采购乙双方各承担50%，供应方支付部分由供应方工程款中代扣支付。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（8）发票给付相关事宜：供应方应根据转款金额提前开具发票给采购方查验后，采购方方可转账支付给供应方。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7、保修、质保金：</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（1）质保期：自验收之日起 2年。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（2）采购方按工程结算价款总额的 3 %预留工程质量保修金，待质保期满且完成维保义务后，由供应方提出申请，采购方将质保金无息转付给供应方。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8、付款方式及要求：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（1）进度款（合同总价的60%）：供应方向采购方提交请款函、竣工移交单、施工合同、竣工验收单、发票等相关项目资料；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（2）结算款（结算总价扣除已支付60%进度款及3%质保金的余款）：供应方向采购方提交请款函、竣工验收单、工程量清单、结算书、竣工图、施工合同、发票等相关项目资料；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（3）质保金（结算总价的3%）：供应方向采购方提交请款函、竣工验收单、施工合同、发票等相关项目资料。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9、违约责任：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（1）按合同规定工期，供应方每拖延工期一天，供应方支付给采购方按合同价的延长损失费500元（采购方原因工期顺延）。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（2）采购方明令禁止供应方所有参与施工的人员在施工现场抽烟，如若发现施工现场产生烟头、烟蒂，采购方将以签证扣款的形式对供应方进行500元/例的处罚。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采购方对供应方明火作业行使监督职责，供应方若需明火作业必须预约采购方到场全程监督，明火作业场所及施工现场由供应方配备相应数量灭火、应急设备并设置醒目隔离标识，方可开展明火作业。反之，采购方有权定义此类行为为非法作业，采购方将以签证扣款的形式对供应方进行1000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（4）供应方材料堆放应遵循分类原则，易燃、可燃材料应分散堆放远离施工区域的位置，区域旁应设置足量的灭火装置。反之，采购方将以签证扣款的形式对供应方进行500元/例的处罚。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（5）供应方所有参与施工人员必须接受采购方组织的上岗前安全培训，对未参与培训进场施工的人员，一经发现，采购方将以签证扣款的形式对供应方进行500元/例的处罚。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（6）未经采购方同意，供应方擅自拆改原建筑物结构或设备管线，由此发生的损失或事故，由供应方负责并承担损失。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（7）供应方施工质量达不到设计和规范要求，供应方需承担违约责任，按工程款15%支付违约金并赔偿因违约给采购方造成的损失。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（8）因一方原因，合同无法继续履行时，应通知对方，办理合同终止协议，并由责任方赔偿对方由此造成的经济损失。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9）供应方承诺不从事商业贿赂行为，遵守廉洁协议或相关规定。采购方发现供应方有违反廉洁协议或相关规定采用不正当手段进行不正当竞争行为的，或被有关部门生效文书认定有贿赂或者受贿行为的，采购方有权终止该业务合同，由此给采购方造成的损失以及发生的一切费用均由供应方承担，采购方有权对供应方实施商业贿赂不良记录，列入“黑名单”，并三年内取消其业务往来资格。</w:t>
      </w:r>
    </w:p>
    <w:p>
      <w:pPr>
        <w:pStyle w:val="2"/>
        <w:ind w:left="0" w:leftChars="0" w:firstLine="0" w:firstLineChars="0"/>
        <w:rPr>
          <w:rFonts w:hint="eastAsia"/>
          <w:lang w:val="en-US"/>
        </w:rPr>
      </w:pPr>
      <w:bookmarkStart w:id="0" w:name="_GoBack"/>
      <w:bookmarkEnd w:id="0"/>
    </w:p>
    <w:p>
      <w:pPr>
        <w:pStyle w:val="2"/>
        <w:ind w:left="0" w:leftChars="0" w:firstLine="0" w:firstLineChars="0"/>
        <w:rPr>
          <w:rFonts w:hint="eastAsia"/>
          <w:lang w:val="en-US" w:eastAsia="zh-CN"/>
        </w:rPr>
      </w:pPr>
    </w:p>
    <w:p>
      <w:pPr>
        <w:pStyle w:val="2"/>
        <w:ind w:left="0" w:leftChars="0" w:firstLine="0" w:firstLineChars="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柳州市工人医院基建办</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2023年12月1日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14B5248"/>
    <w:rsid w:val="029006F1"/>
    <w:rsid w:val="03435C52"/>
    <w:rsid w:val="041744FB"/>
    <w:rsid w:val="042621F8"/>
    <w:rsid w:val="047E1FB9"/>
    <w:rsid w:val="05700489"/>
    <w:rsid w:val="05B0028B"/>
    <w:rsid w:val="05C74289"/>
    <w:rsid w:val="06D663A6"/>
    <w:rsid w:val="07EC0570"/>
    <w:rsid w:val="0D052F8B"/>
    <w:rsid w:val="0DEC388F"/>
    <w:rsid w:val="0E1F0604"/>
    <w:rsid w:val="0F051911"/>
    <w:rsid w:val="11424D1C"/>
    <w:rsid w:val="11634099"/>
    <w:rsid w:val="128571E5"/>
    <w:rsid w:val="139F4F81"/>
    <w:rsid w:val="14C4684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033F72"/>
    <w:rsid w:val="34D91454"/>
    <w:rsid w:val="35AC53AF"/>
    <w:rsid w:val="35E65579"/>
    <w:rsid w:val="3C472582"/>
    <w:rsid w:val="3E2C4BB7"/>
    <w:rsid w:val="3E8A64A9"/>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D2703B6"/>
    <w:rsid w:val="4FF57096"/>
    <w:rsid w:val="50E85F0B"/>
    <w:rsid w:val="52F3051F"/>
    <w:rsid w:val="53C91D89"/>
    <w:rsid w:val="55617B80"/>
    <w:rsid w:val="561D501A"/>
    <w:rsid w:val="56515FE9"/>
    <w:rsid w:val="5A447D2A"/>
    <w:rsid w:val="5AC20E03"/>
    <w:rsid w:val="5CB3223D"/>
    <w:rsid w:val="5CE72158"/>
    <w:rsid w:val="5E40418F"/>
    <w:rsid w:val="5F442227"/>
    <w:rsid w:val="5F491309"/>
    <w:rsid w:val="6115117D"/>
    <w:rsid w:val="623A7395"/>
    <w:rsid w:val="627438C2"/>
    <w:rsid w:val="63814B5D"/>
    <w:rsid w:val="63DA2946"/>
    <w:rsid w:val="680C7FB1"/>
    <w:rsid w:val="6A9B7D71"/>
    <w:rsid w:val="6AE954B5"/>
    <w:rsid w:val="6BA044C1"/>
    <w:rsid w:val="6C775AF2"/>
    <w:rsid w:val="6E5E469C"/>
    <w:rsid w:val="6E706B6E"/>
    <w:rsid w:val="6F0453DE"/>
    <w:rsid w:val="6F250725"/>
    <w:rsid w:val="6F395FEB"/>
    <w:rsid w:val="70BF5E1C"/>
    <w:rsid w:val="717766ED"/>
    <w:rsid w:val="72625B8C"/>
    <w:rsid w:val="732667BF"/>
    <w:rsid w:val="73BB4BC8"/>
    <w:rsid w:val="74607426"/>
    <w:rsid w:val="76C91732"/>
    <w:rsid w:val="77DD02F3"/>
    <w:rsid w:val="79562EED"/>
    <w:rsid w:val="79614F83"/>
    <w:rsid w:val="7A3B2DBF"/>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iPriority w:val="0"/>
    <w:pPr>
      <w:widowControl/>
      <w:ind w:firstLine="420"/>
      <w:jc w:val="left"/>
    </w:pPr>
    <w:rPr>
      <w:kern w:val="0"/>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 Char Char Char Char Char Char1 Char"/>
    <w:basedOn w:val="1"/>
    <w:qFormat/>
    <w:uiPriority w:val="0"/>
    <w:rPr>
      <w:sz w:val="24"/>
      <w:szCs w:val="24"/>
    </w:rPr>
  </w:style>
  <w:style w:type="character" w:customStyle="1" w:styleId="9">
    <w:name w:val="font21"/>
    <w:basedOn w:val="5"/>
    <w:qFormat/>
    <w:uiPriority w:val="0"/>
    <w:rPr>
      <w:rFonts w:hint="eastAsia" w:ascii="宋体" w:hAnsi="宋体" w:eastAsia="宋体" w:cs="宋体"/>
      <w:color w:val="000000"/>
      <w:sz w:val="24"/>
      <w:szCs w:val="24"/>
      <w:u w:val="none"/>
    </w:rPr>
  </w:style>
  <w:style w:type="character" w:customStyle="1" w:styleId="10">
    <w:name w:val="font31"/>
    <w:basedOn w:val="5"/>
    <w:qFormat/>
    <w:uiPriority w:val="0"/>
    <w:rPr>
      <w:rFonts w:hint="default" w:ascii="Times New Roman" w:hAnsi="Times New Roman" w:cs="Times New Roman"/>
      <w:color w:val="000000"/>
      <w:sz w:val="22"/>
      <w:szCs w:val="22"/>
      <w:u w:val="none"/>
    </w:rPr>
  </w:style>
  <w:style w:type="character" w:customStyle="1" w:styleId="11">
    <w:name w:val="font41"/>
    <w:basedOn w:val="5"/>
    <w:qFormat/>
    <w:uiPriority w:val="0"/>
    <w:rPr>
      <w:rFonts w:hint="eastAsia" w:ascii="宋体" w:hAnsi="宋体" w:eastAsia="宋体" w:cs="宋体"/>
      <w:color w:val="000000"/>
      <w:sz w:val="22"/>
      <w:szCs w:val="22"/>
      <w:u w:val="none"/>
    </w:rPr>
  </w:style>
  <w:style w:type="paragraph" w:customStyle="1" w:styleId="12">
    <w:name w:val="正文2"/>
    <w:basedOn w:val="1"/>
    <w:qFormat/>
    <w:uiPriority w:val="0"/>
    <w:pPr>
      <w:spacing w:before="156" w:line="360" w:lineRule="auto"/>
      <w:ind w:firstLine="510" w:firstLineChars="200"/>
    </w:pPr>
    <w:rPr>
      <w:sz w:val="24"/>
    </w:rPr>
  </w:style>
  <w:style w:type="character" w:customStyle="1" w:styleId="13">
    <w:name w:val="font1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ScaleCrop>false</ScaleCrop>
  <LinksUpToDate>false</LinksUpToDate>
  <CharactersWithSpaces>832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2023-12-01T09:37:41Z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676BB8C8E330493DB527A03640A94E19</vt:lpwstr>
  </property>
</Properties>
</file>