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none"/>
        </w:rPr>
        <w:t>总院食堂采购</w:t>
      </w:r>
      <w:r>
        <w:rPr>
          <w:rFonts w:hint="eastAsia" w:ascii="Times New Roman" w:eastAsia="宋体"/>
          <w:b/>
          <w:bCs/>
          <w:sz w:val="32"/>
          <w:szCs w:val="32"/>
          <w:highlight w:val="none"/>
          <w:lang w:val="en-US" w:eastAsia="zh-CN"/>
        </w:rPr>
        <w:t>安装</w:t>
      </w:r>
      <w:r>
        <w:rPr>
          <w:rFonts w:hint="eastAsia"/>
          <w:b/>
          <w:bCs/>
          <w:sz w:val="32"/>
          <w:szCs w:val="32"/>
          <w:highlight w:val="none"/>
        </w:rPr>
        <w:t>油水分离</w:t>
      </w:r>
      <w:r>
        <w:rPr>
          <w:rFonts w:hint="eastAsia" w:ascii="Times New Roman" w:eastAsia="宋体"/>
          <w:b/>
          <w:bCs/>
          <w:sz w:val="32"/>
          <w:szCs w:val="32"/>
          <w:highlight w:val="none"/>
          <w:lang w:val="en-US" w:eastAsia="zh-CN"/>
        </w:rPr>
        <w:t>设备系统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项目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需求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项目名称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总院食堂采购安装油水分离设备系统项目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项目概况</w:t>
      </w:r>
    </w:p>
    <w:p>
      <w:pPr>
        <w:bidi w:val="0"/>
        <w:spacing w:line="240" w:lineRule="auto"/>
        <w:ind w:firstLine="240" w:firstLineChars="1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我院总院食堂地处负一层，油污排放井环境恶劣、经常出现故障，无法有效的进行隔油达到油水分离并进行排放。现需招标采购更换一套全自动油水分离系统，通过独立管道运输，解决食堂的油污分离排放问题，并负责相关操作人员的培训等及后续清洗维护保养服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资质要求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1、法定代表人必须具有中国国籍且有完全民事行为能力。相关资质包括：营业执照、税务登记证、组织机构代码证（三证合一的只提供营业执照）等，证件齐全。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未被列入失信被执行人、重大税收违法案件当事人名单。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在最近三年内的生产、经营中无有关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安全方面的违法违纪行为，不存在不良记录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及服务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质量等问题。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投标人须具有有效的安全生产许可证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四、项目内容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有齐全配套的油水分离设施设备，服务态度要到位，按照现有场地进行改造及服务。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设备效果需达到真正的隔油，除渣，不堵塞，在三个月内起到明显的效果。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需按照要求定期清理，如遇到突发情况需安排人员上门及时维修清理。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设备明细</w:t>
      </w:r>
    </w:p>
    <w:tbl>
      <w:tblPr>
        <w:tblStyle w:val="7"/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525"/>
        <w:gridCol w:w="2565"/>
        <w:gridCol w:w="953"/>
        <w:gridCol w:w="952"/>
        <w:gridCol w:w="2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密闭污水提升器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HYWPII-36 Q=36m3/h  H=15m N=2.2kw*2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外形尺寸：1000*1000*1000mm 全自动设备（不锈钢304材质）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2、双泵自动提升，不锈钢箱体，含设备底座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3、详细清单配置如（1）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150口径管道材料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密闭污水提升器到油水分离器间（150口径）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约5条管，6米/条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油水分离提升器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SHY-V-AQ=36m3/h  H=15m N=9.74kw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外形尺寸：3200*1200*2000全自动设备（不锈钢304材质）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包含螺旋式自动除渣，自动集油带搅拌，恒温加热，提升装置、通气口、设备槽钢基础底座等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3、详细清单配置如（2）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110口径管道材料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油水分离器后排污管（110口径）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约25条管+损耗3条，6米/条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其他管件弯头辅材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设备就位、设备间内所需的管道，闸阀、止回阀、法兰、电缆等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管道安装、设备运输费等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设备拆旧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旧设备拆卸，挖井处理，防水作业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安装设备时需用到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密闭污水提升器、油水分离器安装费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设备维护清洗费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隔油池每个月至少定期2次，根据现场需求，无封顶限制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每月对设备进行大洗一次，连续12个月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2、培训招标单位工作人员做日常维护清理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1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18"/>
          <w:szCs w:val="18"/>
          <w:highlight w:val="none"/>
          <w:lang w:val="en-US" w:eastAsia="zh-CN" w:bidi="ar-SA"/>
        </w:rPr>
        <w:t>（1）密闭污水提升器配置清单</w:t>
      </w:r>
    </w:p>
    <w:tbl>
      <w:tblPr>
        <w:tblStyle w:val="8"/>
        <w:tblW w:w="9560" w:type="dxa"/>
        <w:jc w:val="center"/>
        <w:tblInd w:w="-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059"/>
        <w:gridCol w:w="2453"/>
        <w:gridCol w:w="1013"/>
        <w:gridCol w:w="909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材质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ind w:firstLine="36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设备箱体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1000*1000*1000mm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ss304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1台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bidi w:val="0"/>
              <w:ind w:firstLine="180" w:firstLineChars="10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lang w:val="en-US" w:eastAsia="zh-CN" w:bidi="ar-SA"/>
              </w:rPr>
              <w:t>厚度2.0mm，以实际为准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进水管路带法兰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DN100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ss304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侧进水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ind w:firstLine="36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通气管路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DN50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tabs>
                <w:tab w:val="left" w:pos="230"/>
              </w:tabs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UPVC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上海汇元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出水管路带法兰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DN150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ss304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上出水法兰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潜污切割泵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65WQ/25-10-2.2KW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铸铁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上海汇元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水泵底座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DN65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铸铁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专业配套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止回阀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DN65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SS304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专业配套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液位启停装置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YWCGY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PP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2套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盐城建湖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压力汇总管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DN100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ss304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厚度2.0mm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智能控制柜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HYKG-3GY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ss304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一控二自动控制 元器件为正泰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排空口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DN65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UPVC</w:t>
            </w: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专业配备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20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底座</w:t>
            </w:r>
          </w:p>
        </w:tc>
        <w:tc>
          <w:tcPr>
            <w:tcW w:w="2453" w:type="dxa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槽钢</w:t>
            </w:r>
          </w:p>
        </w:tc>
        <w:tc>
          <w:tcPr>
            <w:tcW w:w="1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0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1套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vertAlign w:val="baseline"/>
                <w:lang w:val="en-US" w:eastAsia="zh-CN"/>
              </w:rPr>
              <w:t>专业配备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highlight w:val="none"/>
          <w:lang w:val="en-US" w:eastAsia="zh-CN" w:bidi="ar-SA"/>
        </w:rPr>
        <w:t>（2）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油水分离提升器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18"/>
          <w:szCs w:val="18"/>
          <w:highlight w:val="none"/>
          <w:lang w:val="en-US" w:eastAsia="zh-CN" w:bidi="ar-SA"/>
        </w:rPr>
        <w:t>配置清单</w:t>
      </w:r>
    </w:p>
    <w:tbl>
      <w:tblPr>
        <w:tblStyle w:val="7"/>
        <w:tblW w:w="97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743"/>
        <w:gridCol w:w="1440"/>
        <w:gridCol w:w="1010"/>
        <w:gridCol w:w="770"/>
        <w:gridCol w:w="702"/>
        <w:gridCol w:w="804"/>
        <w:gridCol w:w="3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设备名称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规格型号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材质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单位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数量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箱体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箱体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尺寸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H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Y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-V-A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3200*1200*2000mm 厚度：2.0mm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除渣排泥系统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进水管总成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DN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可根据客户的尺寸、材质定制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预处理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箱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厚度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mm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除渣滤栏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mm以上固体杂质隔离在进水箱内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自动除渣装置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0.37kw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铸铁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螺旋装置将分离后的残渣排出至渣桶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排泥装置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PE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细小杂质和污泥沉淀后经排泥装置排出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密闭式集渣桶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60L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PE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收纳废渣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自动油水分离系统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油水分离仓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厚度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mm，分离油、水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集油装置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厚度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2.0m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m，所有分离出来的浮油集中收集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排油装置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DN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阀门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油脂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观察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视窗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有机玻璃+S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有利于观察油脂实际厚度，有机玻璃耐腐蚀、耐老化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搅拌装置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SH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GY-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通过搅拌，使油更快的漂浮至水面上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恒温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加热装置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380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V，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3.0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kW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配温度传感装置，自动感应温度，保证油脂高于设定温度，有利于油脂排出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防干烧装置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防止恒温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加热装置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干烧，损坏设备。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智能报警装置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设备出现故障时，及时报警提示。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虹吸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管道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DN1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防止油脂粘结堵塞水流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溢流管道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DN1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0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SS304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瞬时处理量超过设计处理量两倍以上时污水直接从进水箱进入排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箱，防止进水箱溢流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密闭集油筒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60L</w:t>
            </w:r>
          </w:p>
        </w:tc>
        <w:tc>
          <w:tcPr>
            <w:tcW w:w="7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PE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收纳废油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控制系统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全自动控制系统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不锈钢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防护等级IP55，一控二，交替运行（水泵漏水超温保护）；1、元器件品牌：正泰；2、故障报警，漏电、缺相保护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液位浮球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水滴式浮球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污水提升系统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潜污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切割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泵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3.0kw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铸铁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台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上海汇元，带切割刀片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22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潜污泵耦合装置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ND65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铸铁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便于潜污泵维护保养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23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污水排放管路系统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S304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止回阀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2套，管路、弯头若干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24</w:t>
            </w: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出水管总成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DN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S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S304</w:t>
            </w: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  <w:t>可根据客户的尺寸、材质定制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83"/>
              </w:tabs>
              <w:ind w:firstLine="180" w:firstLineChars="10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排气管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DN100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套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调试运行</w:t>
            </w: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技术人员远程指导安装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五、维修及其他要求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维修安装工作人员必须是经过专业培训，熟悉安装工作人员；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拆除及更换安装、吊装、调试，二次搬运等过程中相关安全施工由中标单位负责；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项目实施前需与招标单位指定详细方案及操作流程，确保施工安全；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工期：40天，配货期30天，安装施工10天。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质保期1年：自完成安装调试正常使用并验收合格之日起计，（若厂家免费质保期超过1年的，按厂家规定执行）；要求提供的货物必须是全新产品，其余按国家有关规定执行“三包”。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设备实现功能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集自动过滤除渣功能，自动隔油、排油功能，自动恒温功能，集泥、排泥功能，污水自动强排功能于一体，设计巧妙、配置精良，是餐饮废水隔油的专用设备。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隔油效果好，采用专业精密结构，油脂自动快速聚集，隔油速度快，油水分离效果好。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加热恒温功能，设备自带自动恒温装置和温度传感器，可对油脂进行加热保温，使得油脂变为液态，保证油脂不凝固，避免加热装置与油脂直接接触，可保证设备运行更安全。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具备专门的油水分离系统，无需手动操作，油脂自动排放至集油桶，维护人员只需更换集油桶即可。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螺杆式自动排渣装置，可将过滤出来的较大杂质自动排至集渣桶，维护人员只需更换集渣桶即可。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集油集渣桶，特别设计的旋起卡扣式顶盖，密封性好，操作简单，更便于维护人员打开、盖紧。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全密封设计，确保无异味外泄，特殊设计的通风装置，能有效地防止异味外泄，又能及时的疏通空气，防止箱体内可能发生的真空现象，保证设备安全有效地运行。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独特的安全回流装置，确保即使止回阀失效，也不会发生污水倒流现象，而且不影响设备的正常运行。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人性化设计理念，避免了人工定期清掏，同时提高了环境质量、操作的安全。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自动进水与排水的过程中，有效地达到了排油、除渣等功效，排出的污水由提升泵提升排至市政管网中，就完成了自动提升排放的功能，整个过程自动化，运行自动化。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25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功能集中一体化、结构为模块式设计，无需担心运输通道及设备间门宽小设备整机运不进去等问题，我司产品可分散模块，进场后组装，安装便捷、操作、运行简单，外观紧凑美观，减少地下室安装空间。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设备运行达到效果（针对餐饮废水进行深度处理，效果达到95%以上）。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一级过滤：污水先从进水口进入除渣腔，进行固液分离，除渣腔内装有过滤装置，可将直径&gt;5mm的固体颗粒物过滤出来。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二级除渣：设备内的自动除渣装置可将过滤出的＞5mm颗粒物，集中排至渣桶中，由维护人员定期更换渣桶即可，具体更换周期由客户根据实际污水中含渣量来定。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三级预沉淀：小颗粒物及污泥进行预先沉淀处理后，沉淀在预沉淀腔底部，可定期排放到渣桶中。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四级分离：含有小细渣、油脂、油水混合物等的污水再进一步进行分离，此处污水流速不大于0.005m/s，利用油水密度差原理，使油浮在上面，小颗粒物及污泥则沉淀在底部。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五级深度沉淀：小颗粒物及污泥进行沉淀处理后，沉淀在腔室底部，可定期排泥。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六级隔油：通过导油系统把油脂彻底导向水面，利用最新一代热传导技术，对油脂进行加热保温，使得油脂变为液态，打开放油阀集中排至集油桶里，维护人员只需定期更换油桶即可。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七级深度处理：经过前期工艺处理后的污水利用新一代浮渣处理工艺，可将水面的浮渣进行彻底清除。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六、售后服务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按时、按质、按量提供符合招标（或合同）要求的产品。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严格履行合同条款，按国家相关标准和规范进行包装、运输，将货物送到合同要求的地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点；为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招标单位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提供</w:t>
      </w:r>
      <w:r>
        <w:rPr>
          <w:rFonts w:hint="eastAsia"/>
          <w:sz w:val="24"/>
          <w:szCs w:val="24"/>
          <w:highlight w:val="none"/>
        </w:rPr>
        <w:t>终身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技术咨询和答疑。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培训人员，内容包括设备的运行、维修与保养的理论知识，和实际的操作方法；产品质量保证期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val="en-US" w:eastAsia="zh-CN"/>
        </w:rPr>
        <w:t>一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u w:val="single"/>
          <w:lang w:eastAsia="zh-CN"/>
        </w:rPr>
        <w:t xml:space="preserve"> 年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，终身免费技术服务。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质保期内，在无人为损坏或操作不当的情况下，出现质量问题，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中标公司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负责免费维修，若维修不好则保证更换。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提供全天售后服务。接到报修电话后，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分钟之内，电话反馈，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小时内派遣售后服务专员上门检修。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48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val="en-US" w:eastAsia="zh-CN"/>
        </w:rPr>
        <w:t>投标单位保证</w:t>
      </w:r>
      <w:r>
        <w:rPr>
          <w:rFonts w:hint="eastAsia" w:ascii="仿宋" w:hAnsi="仿宋" w:eastAsia="仿宋" w:cs="仿宋"/>
          <w:kern w:val="2"/>
          <w:sz w:val="24"/>
          <w:szCs w:val="24"/>
          <w:highlight w:val="none"/>
          <w:lang w:eastAsia="zh-CN"/>
        </w:rPr>
        <w:t>足够的备品、备件确保用户设备安全运行；并备有经验丰富的维修服务人员。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59" w:leftChars="266"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七、报价要求</w:t>
      </w:r>
    </w:p>
    <w:tbl>
      <w:tblPr>
        <w:tblStyle w:val="7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89"/>
        <w:gridCol w:w="3631"/>
        <w:gridCol w:w="710"/>
        <w:gridCol w:w="711"/>
        <w:gridCol w:w="1265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（元）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密闭污水提升器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HYWPII-36 Q=36m3/h  H=15m N=2.2kw*2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150口径管道材料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密闭污水提升器到油水分离器间（150口径）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油水分离提升器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SHY-V-AQ=36m3/h  H=15m N=9.74kw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110口径管道材料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油水分离器后排污管（110口径）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其他管件弯头辅材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设备就位、设备间内所需的管道，闸阀、止回阀、法兰、电缆等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管道安装、设备运输费等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设备拆旧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旧设备拆卸，挖井处理，防水作业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升降车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安装设备时需用到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设备安装费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密闭污水提升器、油水分离器安装费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设备维护清洗费</w:t>
            </w:r>
          </w:p>
        </w:tc>
        <w:tc>
          <w:tcPr>
            <w:tcW w:w="3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隔油池每个月至少定期2次，根据现场需求，无封顶限制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9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人民币合计金额（大写）               （小写）¥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6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投标单位需按照单价进行报价。合计总价：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该报价包含维修更换过程中产生的拆卸、安装、吊装、调试、二次搬运、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/>
              </w:rPr>
              <w:t>税费</w:t>
            </w: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  <w:lang w:eastAsia="zh-CN"/>
              </w:rPr>
              <w:t>等费用。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default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八、结算方式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结算方式：施工项目完成验收后，乙方开具增值税专项发票，支付合同总价款90%，三个月后，根据设备使用情况、隔油效果、响应效果、服务质量等方面进行二次验收，验收合格支付剩余的10%，验收不合格整改，直至整改合格后支付剩余的10%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九、务商遴选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方式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对服务商的服务质量、及时性及价格进行综合评价，遴选1</w:t>
      </w:r>
      <w:r>
        <w:rPr>
          <w:rFonts w:hint="default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-SA"/>
        </w:rPr>
        <w:t>十、现场</w:t>
      </w:r>
      <w:r>
        <w:rPr>
          <w:rFonts w:hint="eastAsia" w:ascii="仿宋" w:hAnsi="仿宋" w:eastAsia="仿宋" w:cs="宋体"/>
          <w:b/>
          <w:bCs/>
          <w:sz w:val="24"/>
          <w:szCs w:val="24"/>
          <w:lang w:val="en-US" w:eastAsia="zh-CN"/>
        </w:rPr>
        <w:t>踏勘要求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各投标人可按采购单位统一组织安排，到柳州市工人医院总院进行实地勘察（逾期不到不再单独组织踏勘）对现场进行了解。因中标人勘察有误造成无法按采购单位要求实施的将被拒绝验收，引起的一切后果，均由中标人承担全部赔付责任。踏勘时间另行通知，联系人黄龙查：18377211376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850" w:right="1134" w:bottom="85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FC21FB"/>
    <w:multiLevelType w:val="singleLevel"/>
    <w:tmpl w:val="93FC21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4FFAB8"/>
    <w:multiLevelType w:val="singleLevel"/>
    <w:tmpl w:val="AD4FFAB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BF622937"/>
    <w:multiLevelType w:val="singleLevel"/>
    <w:tmpl w:val="BF62293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A73F298"/>
    <w:multiLevelType w:val="singleLevel"/>
    <w:tmpl w:val="CA73F2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0E860015"/>
    <w:multiLevelType w:val="singleLevel"/>
    <w:tmpl w:val="0E86001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D4D9036"/>
    <w:multiLevelType w:val="singleLevel"/>
    <w:tmpl w:val="3D4D90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6142A9B2"/>
    <w:multiLevelType w:val="singleLevel"/>
    <w:tmpl w:val="6142A9B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766E91F7"/>
    <w:multiLevelType w:val="singleLevel"/>
    <w:tmpl w:val="766E91F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45B3"/>
    <w:rsid w:val="0228515D"/>
    <w:rsid w:val="05653518"/>
    <w:rsid w:val="071B3B71"/>
    <w:rsid w:val="08022C9A"/>
    <w:rsid w:val="0CC44B87"/>
    <w:rsid w:val="10580C00"/>
    <w:rsid w:val="127274AE"/>
    <w:rsid w:val="2109172B"/>
    <w:rsid w:val="299648A0"/>
    <w:rsid w:val="30C12132"/>
    <w:rsid w:val="31174450"/>
    <w:rsid w:val="337455FD"/>
    <w:rsid w:val="35FC309C"/>
    <w:rsid w:val="3B1F4372"/>
    <w:rsid w:val="3C77552C"/>
    <w:rsid w:val="47635E14"/>
    <w:rsid w:val="49DC4A8D"/>
    <w:rsid w:val="56227B44"/>
    <w:rsid w:val="562F7AA2"/>
    <w:rsid w:val="5F2C490A"/>
    <w:rsid w:val="6B634390"/>
    <w:rsid w:val="735E0ECB"/>
    <w:rsid w:val="7AA24B3D"/>
    <w:rsid w:val="7E7F5821"/>
    <w:rsid w:val="7F4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szCs w:val="21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/>
      <w:sz w:val="36"/>
      <w:szCs w:val="24"/>
    </w:rPr>
  </w:style>
  <w:style w:type="paragraph" w:styleId="4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10">
    <w:name w:val="样式 首行缩进:  2 字符"/>
    <w:basedOn w:val="1"/>
    <w:qFormat/>
    <w:uiPriority w:val="0"/>
    <w:pPr>
      <w:spacing w:after="0" w:line="360" w:lineRule="auto"/>
      <w:ind w:firstLine="480" w:firstLineChars="200"/>
      <w:jc w:val="both"/>
    </w:pPr>
    <w:rPr>
      <w:rFonts w:ascii="Times New Roman" w:hAnsi="Times New Roman" w:cs="宋体"/>
      <w:kern w:val="2"/>
      <w:sz w:val="28"/>
      <w:szCs w:val="20"/>
      <w:lang w:eastAsia="zh-CN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2022-11-18T02:59:00Z</dcterms:created>
  <dc:creator>Administrator</dc:creator>
  <cp:lastModifiedBy>Administrator</cp:lastModifiedBy>
  <dcterms:modified xsi:type="dcterms:W3CDTF">2023-11-29T07:43:55Z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