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75"/>
        </w:tabs>
        <w:spacing w:line="480" w:lineRule="exact"/>
        <w:jc w:val="center"/>
        <w:rPr>
          <w:rFonts w:hint="eastAsia" w:ascii="仿宋" w:hAnsi="仿宋" w:eastAsia="仿宋" w:cs="仿宋"/>
          <w:b/>
          <w:sz w:val="36"/>
          <w:szCs w:val="36"/>
        </w:rPr>
      </w:pPr>
      <w:r>
        <w:rPr>
          <w:rFonts w:hint="eastAsia" w:ascii="仿宋" w:hAnsi="仿宋" w:eastAsia="仿宋" w:cs="仿宋"/>
          <w:b/>
          <w:sz w:val="36"/>
          <w:szCs w:val="36"/>
          <w:lang w:eastAsia="zh-CN"/>
        </w:rPr>
        <w:t>柳州市工人医院西院地下停车场</w:t>
      </w:r>
      <w:r>
        <w:rPr>
          <w:rFonts w:hint="eastAsia" w:ascii="仿宋" w:hAnsi="仿宋" w:eastAsia="仿宋" w:cs="仿宋"/>
          <w:b/>
          <w:sz w:val="36"/>
          <w:szCs w:val="36"/>
          <w:lang w:val="en-US" w:eastAsia="zh-CN"/>
        </w:rPr>
        <w:t>智能</w:t>
      </w:r>
      <w:r>
        <w:rPr>
          <w:rFonts w:hint="eastAsia" w:ascii="仿宋" w:hAnsi="仿宋" w:eastAsia="仿宋" w:cs="仿宋"/>
          <w:b/>
          <w:sz w:val="36"/>
          <w:szCs w:val="36"/>
          <w:lang w:eastAsia="zh-CN"/>
        </w:rPr>
        <w:t>道闸</w:t>
      </w:r>
      <w:r>
        <w:rPr>
          <w:rFonts w:hint="eastAsia" w:ascii="仿宋" w:hAnsi="仿宋" w:eastAsia="仿宋" w:cs="仿宋"/>
          <w:b/>
          <w:sz w:val="36"/>
          <w:szCs w:val="36"/>
          <w:lang w:val="en-US" w:eastAsia="zh-CN"/>
        </w:rPr>
        <w:t>采购</w:t>
      </w:r>
      <w:r>
        <w:rPr>
          <w:rFonts w:hint="eastAsia" w:ascii="仿宋" w:hAnsi="仿宋" w:eastAsia="仿宋" w:cs="仿宋"/>
          <w:b/>
          <w:sz w:val="36"/>
          <w:szCs w:val="36"/>
          <w:lang w:eastAsia="zh-CN"/>
        </w:rPr>
        <w:t>需求</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项目</w:t>
      </w:r>
      <w:r>
        <w:rPr>
          <w:rFonts w:hint="eastAsia" w:ascii="仿宋" w:hAnsi="仿宋" w:eastAsia="仿宋" w:cs="仿宋"/>
          <w:b/>
          <w:bCs/>
          <w:sz w:val="28"/>
          <w:szCs w:val="28"/>
          <w:lang w:eastAsia="zh-CN"/>
        </w:rPr>
        <w:t>名称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rPr>
      </w:pPr>
      <w:r>
        <w:rPr>
          <w:rFonts w:hint="eastAsia" w:ascii="仿宋" w:hAnsi="仿宋" w:eastAsia="仿宋" w:cs="仿宋"/>
          <w:b w:val="0"/>
          <w:bCs w:val="0"/>
          <w:sz w:val="28"/>
          <w:szCs w:val="28"/>
          <w:lang w:val="en-US" w:eastAsia="zh-CN"/>
        </w:rPr>
        <w:t xml:space="preserve">    柳州市工人医院西院地下停车场智能道闸采购</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二、项目概况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val="en-US" w:eastAsia="zh-CN"/>
        </w:rPr>
        <w:t xml:space="preserve"> 因国内疫情防控形势严峻复杂，为进一步加强西院区人流进出管控，优化西院区地下停车场两个出入口管理，彻底杜绝未经扫码测温的行人通过地下停车场出入口进入到门诊大厅的情况</w:t>
      </w:r>
      <w:r>
        <w:rPr>
          <w:rFonts w:hint="eastAsia" w:ascii="仿宋" w:hAnsi="仿宋" w:eastAsia="仿宋" w:cs="仿宋"/>
          <w:sz w:val="28"/>
          <w:szCs w:val="36"/>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三、投标人</w:t>
      </w:r>
      <w:r>
        <w:rPr>
          <w:rFonts w:hint="eastAsia" w:ascii="仿宋" w:hAnsi="仿宋" w:eastAsia="仿宋" w:cs="仿宋"/>
          <w:b/>
          <w:bCs/>
          <w:sz w:val="28"/>
          <w:szCs w:val="28"/>
          <w:lang w:val="en-US" w:eastAsia="zh-CN"/>
        </w:rPr>
        <w:t>/供应商资格条件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1、投标人需为国内注册（指按国家有关规定要求注册的）生产或经营本次招标采购货物及服务</w:t>
      </w:r>
      <w:r>
        <w:rPr>
          <w:rFonts w:hint="eastAsia" w:ascii="仿宋" w:hAnsi="仿宋" w:eastAsia="仿宋" w:cs="仿宋"/>
          <w:sz w:val="28"/>
          <w:szCs w:val="28"/>
          <w:lang w:eastAsia="zh-CN"/>
        </w:rPr>
        <w:t>、</w:t>
      </w:r>
      <w:r>
        <w:rPr>
          <w:rFonts w:hint="eastAsia" w:ascii="仿宋" w:hAnsi="仿宋" w:eastAsia="仿宋" w:cs="仿宋"/>
          <w:sz w:val="28"/>
          <w:szCs w:val="28"/>
        </w:rPr>
        <w:t>具备法人资格的供应商。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2、投标人三年内在经营活动中没有重大违法记录和不良信用记录。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3、投标人有效的“营业执照”副本复印件。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4、投标人有效的“税务登记证”副本复印件。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四、项目内容</w:t>
      </w:r>
    </w:p>
    <w:p>
      <w:pPr>
        <w:pStyle w:val="2"/>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采购内容：清单如下：</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230"/>
        <w:gridCol w:w="4155"/>
        <w:gridCol w:w="705"/>
        <w:gridCol w:w="72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123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名称</w:t>
            </w:r>
          </w:p>
        </w:tc>
        <w:tc>
          <w:tcPr>
            <w:tcW w:w="415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参数配置</w:t>
            </w:r>
          </w:p>
        </w:tc>
        <w:tc>
          <w:tcPr>
            <w:tcW w:w="70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数量</w:t>
            </w:r>
          </w:p>
        </w:tc>
        <w:tc>
          <w:tcPr>
            <w:tcW w:w="72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w:t>
            </w:r>
          </w:p>
        </w:tc>
        <w:tc>
          <w:tcPr>
            <w:tcW w:w="85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230" w:type="dxa"/>
            <w:vAlign w:val="center"/>
          </w:tcPr>
          <w:p>
            <w:pPr>
              <w:jc w:val="center"/>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车牌识别</w:t>
            </w:r>
          </w:p>
          <w:p>
            <w:pPr>
              <w:jc w:val="center"/>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一体机</w:t>
            </w:r>
          </w:p>
        </w:tc>
        <w:tc>
          <w:tcPr>
            <w:tcW w:w="4155" w:type="dxa"/>
            <w:vAlign w:val="center"/>
          </w:tcPr>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1、300万高清车牌识别相机</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2、专用三维万向节</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3、防眩感光LED补光灯</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4、四行三色高亮显示屏</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5、语音显示控制板</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6、独立供电专用电源</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7、99.8%车牌识别率</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8、高清语音播报系统</w:t>
            </w:r>
          </w:p>
        </w:tc>
        <w:tc>
          <w:tcPr>
            <w:tcW w:w="70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72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套</w:t>
            </w:r>
          </w:p>
        </w:tc>
        <w:tc>
          <w:tcPr>
            <w:tcW w:w="853"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230" w:type="dxa"/>
            <w:vAlign w:val="center"/>
          </w:tcPr>
          <w:p>
            <w:pPr>
              <w:jc w:val="center"/>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智能闸机</w:t>
            </w:r>
          </w:p>
        </w:tc>
        <w:tc>
          <w:tcPr>
            <w:tcW w:w="4155"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道闸：</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1、起杆速度：6秒</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2、闸杆长度：4米</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3、栏杆款式：广告</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4、外形尺寸：500×330×1203mm</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5、遥控距离：30米</w:t>
            </w:r>
          </w:p>
          <w:p>
            <w:pPr>
              <w:jc w:val="left"/>
              <w:rPr>
                <w:rFonts w:hint="eastAsia"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车辆安全检测器</w:t>
            </w:r>
            <w:r>
              <w:rPr>
                <w:rFonts w:hint="eastAsia" w:ascii="仿宋" w:hAnsi="仿宋" w:eastAsia="仿宋" w:cs="仿宋"/>
                <w:sz w:val="24"/>
                <w:szCs w:val="24"/>
                <w:vertAlign w:val="baseline"/>
                <w:lang w:val="en-US" w:eastAsia="zh-CN"/>
              </w:rPr>
              <w:t>：</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1、电源:220AC</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2、线圈电感范围:20uH～900uH</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3、灵敏度:3级可调</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4、指示灯:电源、检测、出错</w:t>
            </w:r>
          </w:p>
          <w:p>
            <w:pPr>
              <w:jc w:val="left"/>
              <w:rPr>
                <w:rFonts w:hint="eastAsia"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防砸感应线圈</w:t>
            </w:r>
            <w:r>
              <w:rPr>
                <w:rFonts w:hint="eastAsia" w:ascii="仿宋" w:hAnsi="仿宋" w:eastAsia="仿宋" w:cs="仿宋"/>
                <w:sz w:val="24"/>
                <w:szCs w:val="24"/>
                <w:vertAlign w:val="baseline"/>
                <w:lang w:val="en-US" w:eastAsia="zh-CN"/>
              </w:rPr>
              <w:t>：</w:t>
            </w:r>
          </w:p>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1、道闸专用地感线圈50米</w:t>
            </w:r>
          </w:p>
        </w:tc>
        <w:tc>
          <w:tcPr>
            <w:tcW w:w="70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72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套</w:t>
            </w:r>
          </w:p>
        </w:tc>
        <w:tc>
          <w:tcPr>
            <w:tcW w:w="853"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23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交换机</w:t>
            </w:r>
          </w:p>
        </w:tc>
        <w:tc>
          <w:tcPr>
            <w:tcW w:w="4155" w:type="dxa"/>
            <w:vAlign w:val="center"/>
          </w:tcPr>
          <w:p>
            <w:pPr>
              <w:jc w:val="left"/>
              <w:rPr>
                <w:rFonts w:hint="default" w:ascii="仿宋" w:hAnsi="仿宋" w:eastAsia="仿宋" w:cs="仿宋"/>
                <w:sz w:val="24"/>
                <w:szCs w:val="24"/>
                <w:vertAlign w:val="baseline"/>
                <w:lang w:val="en-US" w:eastAsia="zh-CN"/>
              </w:rPr>
            </w:pPr>
            <w:r>
              <w:rPr>
                <w:rFonts w:hint="default" w:ascii="仿宋" w:hAnsi="仿宋" w:eastAsia="仿宋" w:cs="仿宋"/>
                <w:sz w:val="24"/>
                <w:szCs w:val="24"/>
                <w:vertAlign w:val="baseline"/>
                <w:lang w:val="en-US" w:eastAsia="zh-CN"/>
              </w:rPr>
              <w:t>5口百兆交换机</w:t>
            </w:r>
          </w:p>
        </w:tc>
        <w:tc>
          <w:tcPr>
            <w:tcW w:w="70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72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853"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23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施工辅材及人工费</w:t>
            </w:r>
          </w:p>
        </w:tc>
        <w:tc>
          <w:tcPr>
            <w:tcW w:w="4155" w:type="dxa"/>
            <w:vAlign w:val="center"/>
          </w:tcPr>
          <w:p>
            <w:pPr>
              <w:numPr>
                <w:ilvl w:val="0"/>
                <w:numId w:val="1"/>
              </w:num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光纤、网线，电源线，安全岛等施工辅材</w:t>
            </w:r>
          </w:p>
          <w:p>
            <w:pPr>
              <w:numPr>
                <w:ilvl w:val="0"/>
                <w:numId w:val="1"/>
              </w:num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安装、调试等人工费用</w:t>
            </w:r>
          </w:p>
        </w:tc>
        <w:tc>
          <w:tcPr>
            <w:tcW w:w="70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2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批</w:t>
            </w:r>
          </w:p>
        </w:tc>
        <w:tc>
          <w:tcPr>
            <w:tcW w:w="853" w:type="dxa"/>
            <w:vAlign w:val="center"/>
          </w:tcPr>
          <w:p>
            <w:pPr>
              <w:jc w:val="center"/>
              <w:rPr>
                <w:rFonts w:hint="default" w:ascii="仿宋" w:hAnsi="仿宋" w:eastAsia="仿宋" w:cs="仿宋"/>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备注：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1、系统可以申请开通扫码支付、无感支付功能。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2、扫码支付、无感支付资金直连模式，不过第三方。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lang w:val="en-US" w:eastAsia="zh-CN"/>
        </w:rPr>
      </w:pPr>
      <w:r>
        <w:rPr>
          <w:rFonts w:hint="eastAsia" w:ascii="仿宋" w:hAnsi="仿宋" w:eastAsia="仿宋" w:cs="仿宋"/>
          <w:sz w:val="28"/>
          <w:szCs w:val="28"/>
          <w:lang w:val="en-US" w:eastAsia="zh-CN"/>
        </w:rPr>
        <w:t>3、电脑端联网查看收入情况，手机端远程查看收入情况。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五、报价要求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sz w:val="28"/>
          <w:szCs w:val="28"/>
          <w:lang w:val="en-US" w:eastAsia="zh-CN"/>
        </w:rPr>
        <w:t>1、</w:t>
      </w:r>
      <w:r>
        <w:rPr>
          <w:rFonts w:hint="eastAsia" w:ascii="仿宋" w:hAnsi="仿宋" w:eastAsia="仿宋" w:cs="仿宋"/>
          <w:color w:val="auto"/>
          <w:kern w:val="2"/>
          <w:sz w:val="28"/>
          <w:szCs w:val="28"/>
          <w:lang w:val="en-US" w:eastAsia="zh-CN" w:bidi="ar-SA"/>
        </w:rPr>
        <w:t>报价含人工费、材料费、装卸车费、运输费、管理费、保险、质保期、利润、税金等为完成本项目所需的所有费用，在实施期间不因市场因素而变动。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auto"/>
          <w:kern w:val="2"/>
          <w:sz w:val="28"/>
          <w:szCs w:val="28"/>
          <w:lang w:val="en-US" w:eastAsia="zh-CN" w:bidi="ar-SA"/>
        </w:rPr>
        <w:t>3、报价人需按采购清单要求填写应标品牌型号、应标参数、偏离情况、报价、质保期等内容。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六、其他要求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1、交货时如出现质量、型号、参数与招投标文件不符的情况，供应商应无条件给予更换，项目整体质</w:t>
      </w:r>
      <w:bookmarkStart w:id="0" w:name="_GoBack"/>
      <w:bookmarkEnd w:id="0"/>
      <w:r>
        <w:rPr>
          <w:rFonts w:hint="eastAsia" w:ascii="仿宋" w:hAnsi="仿宋" w:eastAsia="仿宋" w:cs="仿宋"/>
          <w:color w:val="auto"/>
          <w:kern w:val="2"/>
          <w:sz w:val="28"/>
          <w:szCs w:val="28"/>
          <w:lang w:val="en-US" w:eastAsia="zh-CN" w:bidi="ar-SA"/>
        </w:rPr>
        <w:t>保2年。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2、供应商确保所供应产品符合国家相关技术部门规定技术要求。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六、合同期及结算方式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1、本项目为一次性采购，签订合同后，5天内完成所有设备供货及调试安装；</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2、结算方式：供货安装调试完毕，正常使用验收完成后一次性支付全款。       </w:t>
      </w:r>
    </w:p>
    <w:p>
      <w:pPr>
        <w:keepNext w:val="0"/>
        <w:keepLines w:val="0"/>
        <w:pageBreakBefore w:val="0"/>
        <w:widowControl w:val="0"/>
        <w:kinsoku/>
        <w:wordWrap/>
        <w:overflowPunct/>
        <w:topLinePunct w:val="0"/>
        <w:autoSpaceDE/>
        <w:autoSpaceDN/>
        <w:bidi w:val="0"/>
        <w:adjustRightInd/>
        <w:snapToGrid/>
        <w:spacing w:line="480" w:lineRule="auto"/>
        <w:ind w:firstLine="5040" w:firstLineChars="1800"/>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5040" w:firstLineChars="18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西院综合办公室：</w:t>
      </w:r>
    </w:p>
    <w:p>
      <w:pPr>
        <w:keepNext w:val="0"/>
        <w:keepLines w:val="0"/>
        <w:pageBreakBefore w:val="0"/>
        <w:widowControl w:val="0"/>
        <w:kinsoku/>
        <w:wordWrap/>
        <w:overflowPunct/>
        <w:topLinePunct w:val="0"/>
        <w:autoSpaceDE/>
        <w:autoSpaceDN/>
        <w:bidi w:val="0"/>
        <w:adjustRightInd/>
        <w:snapToGrid/>
        <w:spacing w:line="480" w:lineRule="auto"/>
        <w:ind w:firstLine="5320" w:firstLineChars="1900"/>
        <w:jc w:val="both"/>
        <w:textAlignment w:val="auto"/>
        <w:rPr>
          <w:rFonts w:hint="eastAsia" w:ascii="仿宋" w:hAnsi="仿宋" w:eastAsia="仿宋" w:cs="仿宋"/>
          <w:lang w:val="en-US" w:eastAsia="zh-CN"/>
        </w:rPr>
      </w:pPr>
      <w:r>
        <w:rPr>
          <w:rFonts w:hint="eastAsia" w:ascii="仿宋" w:hAnsi="仿宋" w:eastAsia="仿宋" w:cs="仿宋"/>
          <w:sz w:val="28"/>
          <w:szCs w:val="28"/>
          <w:lang w:val="en-US" w:eastAsia="zh-CN"/>
        </w:rPr>
        <w:t>总务科经办人：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总务科负责人：</w:t>
      </w:r>
    </w:p>
    <w:p>
      <w:pPr>
        <w:keepNext w:val="0"/>
        <w:keepLines w:val="0"/>
        <w:pageBreakBefore w:val="0"/>
        <w:widowControl w:val="0"/>
        <w:kinsoku/>
        <w:wordWrap/>
        <w:overflowPunct/>
        <w:topLinePunct w:val="0"/>
        <w:autoSpaceDE/>
        <w:autoSpaceDN/>
        <w:bidi w:val="0"/>
        <w:adjustRightInd/>
        <w:snapToGrid/>
        <w:spacing w:line="480" w:lineRule="auto"/>
        <w:ind w:firstLine="5040" w:firstLineChars="1800"/>
        <w:jc w:val="both"/>
        <w:textAlignment w:val="auto"/>
        <w:rPr>
          <w:rFonts w:hint="eastAsia"/>
          <w:lang w:val="en-US" w:eastAsia="zh-CN"/>
        </w:rPr>
      </w:pPr>
      <w:r>
        <w:rPr>
          <w:rFonts w:hint="eastAsia" w:ascii="仿宋" w:hAnsi="仿宋" w:eastAsia="仿宋" w:cs="仿宋"/>
          <w:sz w:val="28"/>
          <w:szCs w:val="28"/>
          <w:lang w:val="en-US" w:eastAsia="zh-CN"/>
        </w:rPr>
        <w:t>2022年12月6日</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D35F7"/>
    <w:multiLevelType w:val="singleLevel"/>
    <w:tmpl w:val="712D35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MGY4NmNhMDhkMjYzNmFmNDBjOTk1MWFhYjgxM2UifQ=="/>
  </w:docVars>
  <w:rsids>
    <w:rsidRoot w:val="53C91D89"/>
    <w:rsid w:val="010951A7"/>
    <w:rsid w:val="029006F1"/>
    <w:rsid w:val="03435C52"/>
    <w:rsid w:val="041744FB"/>
    <w:rsid w:val="042621F8"/>
    <w:rsid w:val="047E1FB9"/>
    <w:rsid w:val="05B0028B"/>
    <w:rsid w:val="05C74289"/>
    <w:rsid w:val="061E3F1F"/>
    <w:rsid w:val="06D663A6"/>
    <w:rsid w:val="07664AA9"/>
    <w:rsid w:val="0AD409A0"/>
    <w:rsid w:val="0C29450A"/>
    <w:rsid w:val="0D052F8B"/>
    <w:rsid w:val="0DEC388F"/>
    <w:rsid w:val="0DFB3956"/>
    <w:rsid w:val="0E1F0604"/>
    <w:rsid w:val="10013F2C"/>
    <w:rsid w:val="11424D1C"/>
    <w:rsid w:val="11634099"/>
    <w:rsid w:val="11F86147"/>
    <w:rsid w:val="128571E5"/>
    <w:rsid w:val="139F4F81"/>
    <w:rsid w:val="158A71B2"/>
    <w:rsid w:val="162D644C"/>
    <w:rsid w:val="16A805D8"/>
    <w:rsid w:val="171C1FFC"/>
    <w:rsid w:val="17AA5816"/>
    <w:rsid w:val="17CB6A54"/>
    <w:rsid w:val="17F07302"/>
    <w:rsid w:val="19AB7B33"/>
    <w:rsid w:val="1C52663A"/>
    <w:rsid w:val="1CBE4E69"/>
    <w:rsid w:val="1E1D2544"/>
    <w:rsid w:val="1F7B2D1C"/>
    <w:rsid w:val="1FBD62B1"/>
    <w:rsid w:val="20B16B03"/>
    <w:rsid w:val="219B01F8"/>
    <w:rsid w:val="21A07DC1"/>
    <w:rsid w:val="22E362D2"/>
    <w:rsid w:val="26D52249"/>
    <w:rsid w:val="28865645"/>
    <w:rsid w:val="2C022C0C"/>
    <w:rsid w:val="2C2F7266"/>
    <w:rsid w:val="2CB404AC"/>
    <w:rsid w:val="2CDF3794"/>
    <w:rsid w:val="2E852EAB"/>
    <w:rsid w:val="2FC63D74"/>
    <w:rsid w:val="30D0413E"/>
    <w:rsid w:val="31040C94"/>
    <w:rsid w:val="31F22A68"/>
    <w:rsid w:val="34272BB6"/>
    <w:rsid w:val="34D91454"/>
    <w:rsid w:val="35AC53AF"/>
    <w:rsid w:val="36692286"/>
    <w:rsid w:val="3AA96FAE"/>
    <w:rsid w:val="3E2C4BB7"/>
    <w:rsid w:val="3F664045"/>
    <w:rsid w:val="40012417"/>
    <w:rsid w:val="40D46D12"/>
    <w:rsid w:val="4172433C"/>
    <w:rsid w:val="417D3E89"/>
    <w:rsid w:val="419A0FA7"/>
    <w:rsid w:val="421C47E7"/>
    <w:rsid w:val="42B208A8"/>
    <w:rsid w:val="45960004"/>
    <w:rsid w:val="46F86693"/>
    <w:rsid w:val="47A37881"/>
    <w:rsid w:val="47F24951"/>
    <w:rsid w:val="481E5360"/>
    <w:rsid w:val="485C4F2C"/>
    <w:rsid w:val="489B4B75"/>
    <w:rsid w:val="49634BF7"/>
    <w:rsid w:val="4A1F5604"/>
    <w:rsid w:val="4D1B00DF"/>
    <w:rsid w:val="4FF57096"/>
    <w:rsid w:val="50E85F0B"/>
    <w:rsid w:val="52F3051F"/>
    <w:rsid w:val="53C91D89"/>
    <w:rsid w:val="54F21A55"/>
    <w:rsid w:val="55617B80"/>
    <w:rsid w:val="56173FB4"/>
    <w:rsid w:val="561D501A"/>
    <w:rsid w:val="56515FE9"/>
    <w:rsid w:val="5A447D2A"/>
    <w:rsid w:val="5A85646B"/>
    <w:rsid w:val="5B3F6E48"/>
    <w:rsid w:val="5CB3223D"/>
    <w:rsid w:val="5CEF488A"/>
    <w:rsid w:val="5E40418F"/>
    <w:rsid w:val="5F442227"/>
    <w:rsid w:val="5F672D7E"/>
    <w:rsid w:val="607F7AD3"/>
    <w:rsid w:val="623A7395"/>
    <w:rsid w:val="627438C2"/>
    <w:rsid w:val="63814B5D"/>
    <w:rsid w:val="680C7FB1"/>
    <w:rsid w:val="69403AAE"/>
    <w:rsid w:val="6A9B7D71"/>
    <w:rsid w:val="6AE954B5"/>
    <w:rsid w:val="6BA044C1"/>
    <w:rsid w:val="6BC8247B"/>
    <w:rsid w:val="6C775AF2"/>
    <w:rsid w:val="6E5E469C"/>
    <w:rsid w:val="6F0453DE"/>
    <w:rsid w:val="6F250725"/>
    <w:rsid w:val="6F395FEB"/>
    <w:rsid w:val="717766ED"/>
    <w:rsid w:val="72625B8C"/>
    <w:rsid w:val="73BB4BC8"/>
    <w:rsid w:val="74607426"/>
    <w:rsid w:val="74C13C0D"/>
    <w:rsid w:val="76C91732"/>
    <w:rsid w:val="77DD02F3"/>
    <w:rsid w:val="79562EED"/>
    <w:rsid w:val="7AC124B5"/>
    <w:rsid w:val="7AF9322A"/>
    <w:rsid w:val="7B161079"/>
    <w:rsid w:val="7B6660C0"/>
    <w:rsid w:val="7CAF0D43"/>
    <w:rsid w:val="7CC12FE9"/>
    <w:rsid w:val="7CED43DB"/>
    <w:rsid w:val="7D0A0C4E"/>
    <w:rsid w:val="7DBC3A33"/>
    <w:rsid w:val="7DFD69D9"/>
    <w:rsid w:val="7E6C177D"/>
    <w:rsid w:val="7F341EF2"/>
    <w:rsid w:val="7FE660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ourier New"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380" w:lineRule="exact"/>
    </w:pPr>
    <w:rPr>
      <w:rFonts w:ascii="Times New Roman" w:hAnsi="Times New Roman" w:eastAsia="宋体" w:cs="Times New Roman"/>
      <w:sz w:val="24"/>
      <w:szCs w:val="24"/>
    </w:rPr>
  </w:style>
  <w:style w:type="paragraph" w:styleId="3">
    <w:name w:val="index 8"/>
    <w:basedOn w:val="1"/>
    <w:next w:val="1"/>
    <w:qFormat/>
    <w:uiPriority w:val="0"/>
    <w:pPr>
      <w:ind w:left="0" w:leftChars="0"/>
      <w:jc w:val="left"/>
    </w:pPr>
    <w:rPr>
      <w:rFonts w:ascii="Times New Roman" w:hAnsi="Times New Roman"/>
    </w:rPr>
  </w:style>
  <w:style w:type="paragraph" w:styleId="4">
    <w:name w:val="annotation text"/>
    <w:basedOn w:val="1"/>
    <w:unhideWhenUsed/>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 Char Char Char Char Char Char1 Char"/>
    <w:basedOn w:val="1"/>
    <w:qFormat/>
    <w:uiPriority w:val="0"/>
    <w:rPr>
      <w:sz w:val="24"/>
      <w:szCs w:val="24"/>
    </w:rPr>
  </w:style>
  <w:style w:type="character" w:customStyle="1" w:styleId="11">
    <w:name w:val="font21"/>
    <w:basedOn w:val="9"/>
    <w:qFormat/>
    <w:uiPriority w:val="0"/>
    <w:rPr>
      <w:rFonts w:hint="eastAsia" w:ascii="宋体" w:hAnsi="宋体" w:eastAsia="宋体" w:cs="宋体"/>
      <w:color w:val="000000"/>
      <w:sz w:val="24"/>
      <w:szCs w:val="24"/>
      <w:u w:val="none"/>
    </w:rPr>
  </w:style>
  <w:style w:type="character" w:customStyle="1" w:styleId="12">
    <w:name w:val="font31"/>
    <w:basedOn w:val="9"/>
    <w:qFormat/>
    <w:uiPriority w:val="0"/>
    <w:rPr>
      <w:rFonts w:hint="default" w:ascii="Times New Roman" w:hAnsi="Times New Roman" w:cs="Times New Roman"/>
      <w:color w:val="000000"/>
      <w:sz w:val="22"/>
      <w:szCs w:val="22"/>
      <w:u w:val="none"/>
    </w:rPr>
  </w:style>
  <w:style w:type="character" w:customStyle="1" w:styleId="13">
    <w:name w:val="font41"/>
    <w:basedOn w:val="9"/>
    <w:qFormat/>
    <w:uiPriority w:val="0"/>
    <w:rPr>
      <w:rFonts w:hint="eastAsia" w:ascii="宋体" w:hAnsi="宋体" w:eastAsia="宋体" w:cs="宋体"/>
      <w:color w:val="000000"/>
      <w:sz w:val="22"/>
      <w:szCs w:val="22"/>
      <w:u w:val="none"/>
    </w:rPr>
  </w:style>
  <w:style w:type="paragraph" w:customStyle="1" w:styleId="14">
    <w:name w:val="正文2"/>
    <w:basedOn w:val="1"/>
    <w:qFormat/>
    <w:uiPriority w:val="0"/>
    <w:pPr>
      <w:spacing w:before="156" w:line="360" w:lineRule="auto"/>
      <w:ind w:firstLine="510" w:firstLineChars="200"/>
    </w:pPr>
    <w:rPr>
      <w:sz w:val="24"/>
    </w:rPr>
  </w:style>
  <w:style w:type="character" w:customStyle="1" w:styleId="15">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1000</Words>
  <Characters>1073</Characters>
  <Lines>0</Lines>
  <Paragraphs>0</Paragraphs>
  <TotalTime>2</TotalTime>
  <ScaleCrop>false</ScaleCrop>
  <LinksUpToDate>false</LinksUpToDate>
  <CharactersWithSpaces>1124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2016-03-02T06:46:00Z</dcterms:created>
  <dc:creator>Administrator</dc:creator>
  <cp:lastModifiedBy>Administrator</cp:lastModifiedBy>
  <cp:lastPrinted>2020-12-16T01:51:00Z</cp:lastPrinted>
  <dcterms:modified xsi:type="dcterms:W3CDTF">2022-12-29T09:31:08Z</dcterms:modified>
  <dc:title>关于西院门诊住院综合楼大堂采光井电动百叶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676BB8C8E330493DB527A03640A94E19</vt:lpwstr>
  </property>
</Properties>
</file>